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7528D">
      <w:pPr>
        <w:spacing w:line="360" w:lineRule="auto"/>
        <w:rPr>
          <w:rFonts w:hint="eastAsia" w:ascii="黑体" w:hAnsi="黑体" w:eastAsia="黑体" w:cs="黑体"/>
          <w:sz w:val="28"/>
          <w:szCs w:val="28"/>
          <w:lang w:val="en-US" w:eastAsia="zh-CN"/>
        </w:rPr>
      </w:pPr>
      <w:bookmarkStart w:id="61" w:name="_GoBack"/>
      <w:r>
        <w:rPr>
          <w:rFonts w:hint="eastAsia" w:ascii="黑体" w:hAnsi="黑体" w:eastAsia="黑体" w:cs="黑体"/>
          <w:sz w:val="28"/>
          <w:szCs w:val="28"/>
          <w:lang w:val="en-US" w:eastAsia="zh-CN"/>
        </w:rPr>
        <w:t>附件1</w:t>
      </w:r>
    </w:p>
    <w:bookmarkEnd w:id="61"/>
    <w:p w14:paraId="3869ABF2">
      <w:pPr>
        <w:pStyle w:val="2"/>
        <w:spacing w:line="360" w:lineRule="auto"/>
        <w:rPr>
          <w:rFonts w:hint="eastAsia"/>
          <w:lang w:val="en-US" w:bidi="ar-SA"/>
        </w:rPr>
      </w:pPr>
    </w:p>
    <w:p w14:paraId="27802111">
      <w:pPr>
        <w:spacing w:line="360" w:lineRule="auto"/>
      </w:pPr>
    </w:p>
    <w:p w14:paraId="6399DC41">
      <w:pPr>
        <w:spacing w:line="360" w:lineRule="auto"/>
      </w:pPr>
    </w:p>
    <w:p w14:paraId="7D7256FB">
      <w:pPr>
        <w:adjustRightInd w:val="0"/>
        <w:snapToGrid w:val="0"/>
        <w:spacing w:line="360" w:lineRule="auto"/>
        <w:jc w:val="center"/>
        <w:rPr>
          <w:rFonts w:hint="eastAsia" w:ascii="黑体" w:hAnsi="黑体" w:eastAsia="黑体" w:cs="黑体"/>
          <w:b/>
          <w:bCs/>
          <w:sz w:val="36"/>
          <w:szCs w:val="36"/>
        </w:rPr>
      </w:pPr>
      <w:r>
        <w:rPr>
          <w:rFonts w:hint="eastAsia" w:ascii="黑体" w:hAnsi="黑体" w:eastAsia="黑体" w:cs="黑体"/>
          <w:b/>
          <w:bCs/>
          <w:sz w:val="36"/>
          <w:szCs w:val="36"/>
        </w:rPr>
        <w:t>中国建设监理协会</w:t>
      </w:r>
    </w:p>
    <w:p w14:paraId="267FE893">
      <w:pPr>
        <w:adjustRightInd w:val="0"/>
        <w:snapToGrid w:val="0"/>
        <w:spacing w:line="360" w:lineRule="auto"/>
        <w:jc w:val="center"/>
        <w:rPr>
          <w:rFonts w:hint="eastAsia" w:ascii="黑体" w:hAnsi="黑体" w:eastAsia="黑体" w:cs="黑体"/>
          <w:b/>
          <w:bCs/>
          <w:sz w:val="36"/>
          <w:szCs w:val="36"/>
        </w:rPr>
      </w:pPr>
      <w:bookmarkStart w:id="0" w:name="_Toc135073364"/>
      <w:r>
        <w:rPr>
          <w:rFonts w:hint="eastAsia" w:ascii="黑体" w:hAnsi="黑体" w:eastAsia="黑体" w:cs="黑体"/>
          <w:b/>
          <w:bCs/>
          <w:sz w:val="36"/>
          <w:szCs w:val="36"/>
        </w:rPr>
        <w:t>《工程监理企业实施全过程工程咨询服务标准》</w:t>
      </w:r>
    </w:p>
    <w:bookmarkEnd w:id="0"/>
    <w:p w14:paraId="140A1FF4">
      <w:pPr>
        <w:adjustRightInd w:val="0"/>
        <w:snapToGrid w:val="0"/>
        <w:spacing w:line="360" w:lineRule="auto"/>
        <w:rPr>
          <w:b/>
          <w:bCs/>
          <w:sz w:val="24"/>
          <w:szCs w:val="28"/>
        </w:rPr>
      </w:pPr>
    </w:p>
    <w:p w14:paraId="77BBA0AA">
      <w:pPr>
        <w:pStyle w:val="2"/>
        <w:spacing w:line="360" w:lineRule="auto"/>
        <w:ind w:left="0" w:firstLine="0"/>
        <w:rPr>
          <w:rFonts w:hint="eastAsia"/>
          <w:lang w:val="en-US" w:bidi="ar-SA"/>
        </w:rPr>
      </w:pPr>
    </w:p>
    <w:p w14:paraId="2D316492">
      <w:pPr>
        <w:pStyle w:val="2"/>
        <w:spacing w:line="360" w:lineRule="auto"/>
        <w:rPr>
          <w:rFonts w:hint="eastAsia"/>
        </w:rPr>
      </w:pPr>
    </w:p>
    <w:p w14:paraId="5AEC0CC7">
      <w:pPr>
        <w:adjustRightInd w:val="0"/>
        <w:snapToGrid w:val="0"/>
        <w:spacing w:line="360" w:lineRule="auto"/>
        <w:rPr>
          <w:b/>
          <w:bCs/>
          <w:sz w:val="28"/>
          <w:szCs w:val="32"/>
        </w:rPr>
      </w:pPr>
      <w:r>
        <w:rPr>
          <w:b/>
          <w:bCs/>
          <w:sz w:val="28"/>
          <w:szCs w:val="32"/>
        </w:rPr>
        <w:br w:type="page"/>
      </w:r>
    </w:p>
    <w:p w14:paraId="59F0AEB5">
      <w:pPr>
        <w:pStyle w:val="2"/>
        <w:spacing w:line="360" w:lineRule="auto"/>
        <w:ind w:left="0" w:firstLine="0"/>
        <w:jc w:val="center"/>
        <w:outlineLvl w:val="0"/>
        <w:rPr>
          <w:rFonts w:hint="eastAsia"/>
          <w:b/>
          <w:bCs/>
          <w:sz w:val="24"/>
          <w:szCs w:val="28"/>
          <w:lang w:val="en-US" w:bidi="ar-SA"/>
        </w:rPr>
      </w:pPr>
      <w:bookmarkStart w:id="1" w:name="_Toc190875402"/>
      <w:r>
        <w:rPr>
          <w:rFonts w:hint="eastAsia"/>
          <w:b/>
          <w:bCs/>
          <w:sz w:val="24"/>
          <w:szCs w:val="28"/>
          <w:lang w:val="en-US" w:bidi="ar-SA"/>
        </w:rPr>
        <w:t>目 录</w:t>
      </w:r>
      <w:bookmarkEnd w:id="1"/>
    </w:p>
    <w:p w14:paraId="28E88637">
      <w:pPr>
        <w:pStyle w:val="17"/>
        <w:tabs>
          <w:tab w:val="right" w:leader="dot" w:pos="8296"/>
        </w:tabs>
        <w:rPr>
          <w:rFonts w:hint="eastAsia" w:cstheme="minorBidi"/>
          <w:kern w:val="2"/>
          <w:szCs w:val="24"/>
          <w14:ligatures w14:val="standardContextual"/>
        </w:rPr>
      </w:pPr>
      <w:r>
        <w:rPr>
          <w:rFonts w:hint="eastAsia"/>
        </w:rPr>
        <w:fldChar w:fldCharType="begin"/>
      </w:r>
      <w:r>
        <w:rPr>
          <w:rFonts w:hint="eastAsia"/>
        </w:rPr>
        <w:instrText xml:space="preserve"> TOC \o "1-2" \h \z \u </w:instrText>
      </w:r>
      <w:r>
        <w:rPr>
          <w:rFonts w:hint="eastAsia"/>
        </w:rPr>
        <w:fldChar w:fldCharType="separate"/>
      </w:r>
      <w:r>
        <w:fldChar w:fldCharType="begin"/>
      </w:r>
      <w:r>
        <w:instrText xml:space="preserve"> HYPERLINK \l "_Toc190875402" </w:instrText>
      </w:r>
      <w:r>
        <w:fldChar w:fldCharType="separate"/>
      </w:r>
      <w:r>
        <w:rPr>
          <w:rStyle w:val="24"/>
          <w:rFonts w:hint="eastAsia"/>
          <w:b/>
          <w:bCs/>
        </w:rPr>
        <w:t>目 录</w:t>
      </w:r>
      <w:r>
        <w:rPr>
          <w:rFonts w:hint="eastAsia"/>
        </w:rPr>
        <w:tab/>
      </w:r>
      <w:r>
        <w:rPr>
          <w:rFonts w:hint="eastAsia"/>
        </w:rPr>
        <w:fldChar w:fldCharType="begin"/>
      </w:r>
      <w:r>
        <w:rPr>
          <w:rFonts w:hint="eastAsia"/>
        </w:rPr>
        <w:instrText xml:space="preserve"> </w:instrText>
      </w:r>
      <w:r>
        <w:instrText xml:space="preserve">PAGEREF _Toc190875402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7B71BA94">
      <w:pPr>
        <w:pStyle w:val="17"/>
        <w:tabs>
          <w:tab w:val="right" w:leader="dot" w:pos="8296"/>
        </w:tabs>
        <w:rPr>
          <w:rFonts w:hint="eastAsia" w:cstheme="minorBidi"/>
          <w:kern w:val="2"/>
          <w:szCs w:val="24"/>
          <w14:ligatures w14:val="standardContextual"/>
        </w:rPr>
      </w:pPr>
      <w:r>
        <w:fldChar w:fldCharType="begin"/>
      </w:r>
      <w:r>
        <w:instrText xml:space="preserve"> HYPERLINK \l "_Toc190875403" </w:instrText>
      </w:r>
      <w:r>
        <w:fldChar w:fldCharType="separate"/>
      </w:r>
      <w:r>
        <w:rPr>
          <w:rStyle w:val="24"/>
          <w:rFonts w:hint="eastAsia"/>
          <w:b/>
          <w:bCs/>
        </w:rPr>
        <w:t>前言</w:t>
      </w:r>
      <w:r>
        <w:rPr>
          <w:rFonts w:hint="eastAsia"/>
        </w:rPr>
        <w:tab/>
      </w:r>
      <w:r>
        <w:rPr>
          <w:rFonts w:hint="eastAsia"/>
        </w:rPr>
        <w:fldChar w:fldCharType="begin"/>
      </w:r>
      <w:r>
        <w:rPr>
          <w:rFonts w:hint="eastAsia"/>
        </w:rPr>
        <w:instrText xml:space="preserve"> </w:instrText>
      </w:r>
      <w:r>
        <w:instrText xml:space="preserve">PAGEREF _Toc190875403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50FAE5C">
      <w:pPr>
        <w:pStyle w:val="17"/>
        <w:tabs>
          <w:tab w:val="right" w:leader="dot" w:pos="8296"/>
        </w:tabs>
        <w:rPr>
          <w:rFonts w:hint="eastAsia" w:cstheme="minorBidi"/>
          <w:kern w:val="2"/>
          <w:szCs w:val="24"/>
          <w14:ligatures w14:val="standardContextual"/>
        </w:rPr>
      </w:pPr>
      <w:r>
        <w:fldChar w:fldCharType="begin"/>
      </w:r>
      <w:r>
        <w:instrText xml:space="preserve"> HYPERLINK \l "_Toc190875404" </w:instrText>
      </w:r>
      <w:r>
        <w:fldChar w:fldCharType="separate"/>
      </w:r>
      <w:r>
        <w:rPr>
          <w:rStyle w:val="24"/>
          <w:rFonts w:hint="eastAsia"/>
          <w:b/>
          <w:bCs/>
        </w:rPr>
        <w:t>1 总则</w:t>
      </w:r>
      <w:r>
        <w:rPr>
          <w:rFonts w:hint="eastAsia"/>
        </w:rPr>
        <w:tab/>
      </w:r>
      <w:r>
        <w:rPr>
          <w:rFonts w:hint="eastAsia"/>
        </w:rPr>
        <w:fldChar w:fldCharType="begin"/>
      </w:r>
      <w:r>
        <w:rPr>
          <w:rFonts w:hint="eastAsia"/>
        </w:rPr>
        <w:instrText xml:space="preserve"> </w:instrText>
      </w:r>
      <w:r>
        <w:instrText xml:space="preserve">PAGEREF _Toc190875404 \h</w:instrText>
      </w:r>
      <w:r>
        <w:rPr>
          <w:rFonts w:hint="eastAsia"/>
        </w:rPr>
        <w:instrText xml:space="preserve"> </w:instrText>
      </w:r>
      <w:r>
        <w:rPr>
          <w:rFonts w:hint="eastAsia"/>
        </w:rPr>
        <w:fldChar w:fldCharType="separate"/>
      </w:r>
      <w:r>
        <w:rPr>
          <w:rFonts w:hint="eastAsia"/>
        </w:rPr>
        <w:t>1</w:t>
      </w:r>
      <w:r>
        <w:rPr>
          <w:rFonts w:hint="eastAsia"/>
        </w:rPr>
        <w:fldChar w:fldCharType="end"/>
      </w:r>
      <w:r>
        <w:rPr>
          <w:rFonts w:hint="eastAsia"/>
        </w:rPr>
        <w:fldChar w:fldCharType="end"/>
      </w:r>
    </w:p>
    <w:p w14:paraId="55A0DD28">
      <w:pPr>
        <w:pStyle w:val="17"/>
        <w:tabs>
          <w:tab w:val="right" w:leader="dot" w:pos="8296"/>
        </w:tabs>
        <w:rPr>
          <w:rFonts w:hint="eastAsia" w:cstheme="minorBidi"/>
          <w:kern w:val="2"/>
          <w:szCs w:val="24"/>
          <w14:ligatures w14:val="standardContextual"/>
        </w:rPr>
      </w:pPr>
      <w:r>
        <w:fldChar w:fldCharType="begin"/>
      </w:r>
      <w:r>
        <w:instrText xml:space="preserve"> HYPERLINK \l "_Toc190875405" </w:instrText>
      </w:r>
      <w:r>
        <w:fldChar w:fldCharType="separate"/>
      </w:r>
      <w:r>
        <w:rPr>
          <w:rStyle w:val="24"/>
          <w:rFonts w:hint="eastAsia"/>
          <w:b/>
          <w:bCs/>
        </w:rPr>
        <w:t>2 术语</w:t>
      </w:r>
      <w:r>
        <w:rPr>
          <w:rFonts w:hint="eastAsia"/>
        </w:rPr>
        <w:tab/>
      </w:r>
      <w:r>
        <w:rPr>
          <w:rFonts w:hint="eastAsia"/>
        </w:rPr>
        <w:fldChar w:fldCharType="begin"/>
      </w:r>
      <w:r>
        <w:rPr>
          <w:rFonts w:hint="eastAsia"/>
        </w:rPr>
        <w:instrText xml:space="preserve"> </w:instrText>
      </w:r>
      <w:r>
        <w:instrText xml:space="preserve">PAGEREF _Toc190875405 \h</w:instrText>
      </w:r>
      <w:r>
        <w:rPr>
          <w:rFonts w:hint="eastAsia"/>
        </w:rPr>
        <w:instrText xml:space="preserve"> </w:instrText>
      </w:r>
      <w:r>
        <w:rPr>
          <w:rFonts w:hint="eastAsia"/>
        </w:rPr>
        <w:fldChar w:fldCharType="separate"/>
      </w:r>
      <w:r>
        <w:rPr>
          <w:rFonts w:hint="eastAsia"/>
        </w:rPr>
        <w:t>2</w:t>
      </w:r>
      <w:r>
        <w:rPr>
          <w:rFonts w:hint="eastAsia"/>
        </w:rPr>
        <w:fldChar w:fldCharType="end"/>
      </w:r>
      <w:r>
        <w:rPr>
          <w:rFonts w:hint="eastAsia"/>
        </w:rPr>
        <w:fldChar w:fldCharType="end"/>
      </w:r>
    </w:p>
    <w:p w14:paraId="17512A4A">
      <w:pPr>
        <w:pStyle w:val="17"/>
        <w:tabs>
          <w:tab w:val="right" w:leader="dot" w:pos="8296"/>
        </w:tabs>
        <w:rPr>
          <w:rFonts w:hint="eastAsia" w:cstheme="minorBidi"/>
          <w:kern w:val="2"/>
          <w:szCs w:val="24"/>
          <w14:ligatures w14:val="standardContextual"/>
        </w:rPr>
      </w:pPr>
      <w:r>
        <w:fldChar w:fldCharType="begin"/>
      </w:r>
      <w:r>
        <w:instrText xml:space="preserve"> HYPERLINK \l "_Toc190875406" </w:instrText>
      </w:r>
      <w:r>
        <w:fldChar w:fldCharType="separate"/>
      </w:r>
      <w:r>
        <w:rPr>
          <w:rStyle w:val="24"/>
          <w:rFonts w:hint="eastAsia"/>
          <w:b/>
          <w:bCs/>
        </w:rPr>
        <w:t>3 基本规定</w:t>
      </w:r>
      <w:r>
        <w:rPr>
          <w:rFonts w:hint="eastAsia"/>
        </w:rPr>
        <w:tab/>
      </w:r>
      <w:r>
        <w:rPr>
          <w:rFonts w:hint="eastAsia"/>
        </w:rPr>
        <w:fldChar w:fldCharType="begin"/>
      </w:r>
      <w:r>
        <w:rPr>
          <w:rFonts w:hint="eastAsia"/>
        </w:rPr>
        <w:instrText xml:space="preserve"> </w:instrText>
      </w:r>
      <w:r>
        <w:instrText xml:space="preserve">PAGEREF _Toc190875406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1FD01BCC">
      <w:pPr>
        <w:pStyle w:val="19"/>
        <w:tabs>
          <w:tab w:val="right" w:leader="dot" w:pos="8296"/>
        </w:tabs>
        <w:rPr>
          <w:rFonts w:hint="eastAsia" w:cstheme="minorBidi"/>
          <w:kern w:val="2"/>
          <w:szCs w:val="24"/>
          <w14:ligatures w14:val="standardContextual"/>
        </w:rPr>
      </w:pPr>
      <w:r>
        <w:fldChar w:fldCharType="begin"/>
      </w:r>
      <w:r>
        <w:instrText xml:space="preserve"> HYPERLINK \l "_Toc190875407" </w:instrText>
      </w:r>
      <w:r>
        <w:fldChar w:fldCharType="separate"/>
      </w:r>
      <w:r>
        <w:rPr>
          <w:rStyle w:val="24"/>
          <w:rFonts w:hint="eastAsia"/>
          <w:b/>
          <w:bCs/>
        </w:rPr>
        <w:t>3.1 一般规定</w:t>
      </w:r>
      <w:r>
        <w:rPr>
          <w:rFonts w:hint="eastAsia"/>
        </w:rPr>
        <w:tab/>
      </w:r>
      <w:r>
        <w:rPr>
          <w:rFonts w:hint="eastAsia"/>
        </w:rPr>
        <w:fldChar w:fldCharType="begin"/>
      </w:r>
      <w:r>
        <w:rPr>
          <w:rFonts w:hint="eastAsia"/>
        </w:rPr>
        <w:instrText xml:space="preserve"> </w:instrText>
      </w:r>
      <w:r>
        <w:instrText xml:space="preserve">PAGEREF _Toc190875407 \h</w:instrText>
      </w:r>
      <w:r>
        <w:rPr>
          <w:rFonts w:hint="eastAsia"/>
        </w:rPr>
        <w:instrText xml:space="preserve"> </w:instrText>
      </w:r>
      <w:r>
        <w:rPr>
          <w:rFonts w:hint="eastAsia"/>
        </w:rPr>
        <w:fldChar w:fldCharType="separate"/>
      </w:r>
      <w:r>
        <w:rPr>
          <w:rFonts w:hint="eastAsia"/>
        </w:rPr>
        <w:t>4</w:t>
      </w:r>
      <w:r>
        <w:rPr>
          <w:rFonts w:hint="eastAsia"/>
        </w:rPr>
        <w:fldChar w:fldCharType="end"/>
      </w:r>
      <w:r>
        <w:rPr>
          <w:rFonts w:hint="eastAsia"/>
        </w:rPr>
        <w:fldChar w:fldCharType="end"/>
      </w:r>
    </w:p>
    <w:p w14:paraId="0DC71C75">
      <w:pPr>
        <w:pStyle w:val="19"/>
        <w:tabs>
          <w:tab w:val="right" w:leader="dot" w:pos="8296"/>
        </w:tabs>
        <w:rPr>
          <w:rFonts w:hint="eastAsia" w:cstheme="minorBidi"/>
          <w:kern w:val="2"/>
          <w:szCs w:val="24"/>
          <w14:ligatures w14:val="standardContextual"/>
        </w:rPr>
      </w:pPr>
      <w:r>
        <w:fldChar w:fldCharType="begin"/>
      </w:r>
      <w:r>
        <w:instrText xml:space="preserve"> HYPERLINK \l "_Toc190875408" </w:instrText>
      </w:r>
      <w:r>
        <w:fldChar w:fldCharType="separate"/>
      </w:r>
      <w:r>
        <w:rPr>
          <w:rStyle w:val="24"/>
          <w:rFonts w:hint="eastAsia"/>
          <w:b/>
          <w:bCs/>
        </w:rPr>
        <w:t>3.2 组织模式</w:t>
      </w:r>
      <w:r>
        <w:rPr>
          <w:rFonts w:hint="eastAsia"/>
        </w:rPr>
        <w:tab/>
      </w:r>
      <w:r>
        <w:rPr>
          <w:rFonts w:hint="eastAsia"/>
        </w:rPr>
        <w:fldChar w:fldCharType="begin"/>
      </w:r>
      <w:r>
        <w:rPr>
          <w:rFonts w:hint="eastAsia"/>
        </w:rPr>
        <w:instrText xml:space="preserve"> </w:instrText>
      </w:r>
      <w:r>
        <w:instrText xml:space="preserve">PAGEREF _Toc190875408 \h</w:instrText>
      </w:r>
      <w:r>
        <w:rPr>
          <w:rFonts w:hint="eastAsia"/>
        </w:rPr>
        <w:instrText xml:space="preserve"> </w:instrText>
      </w:r>
      <w:r>
        <w:rPr>
          <w:rFonts w:hint="eastAsia"/>
        </w:rPr>
        <w:fldChar w:fldCharType="separate"/>
      </w:r>
      <w:r>
        <w:rPr>
          <w:rFonts w:hint="eastAsia"/>
        </w:rPr>
        <w:t>5</w:t>
      </w:r>
      <w:r>
        <w:rPr>
          <w:rFonts w:hint="eastAsia"/>
        </w:rPr>
        <w:fldChar w:fldCharType="end"/>
      </w:r>
      <w:r>
        <w:rPr>
          <w:rFonts w:hint="eastAsia"/>
        </w:rPr>
        <w:fldChar w:fldCharType="end"/>
      </w:r>
    </w:p>
    <w:p w14:paraId="2A9B6296">
      <w:pPr>
        <w:pStyle w:val="19"/>
        <w:tabs>
          <w:tab w:val="right" w:leader="dot" w:pos="8296"/>
        </w:tabs>
        <w:rPr>
          <w:rFonts w:hint="eastAsia" w:cstheme="minorBidi"/>
          <w:kern w:val="2"/>
          <w:szCs w:val="24"/>
          <w14:ligatures w14:val="standardContextual"/>
        </w:rPr>
      </w:pPr>
      <w:r>
        <w:fldChar w:fldCharType="begin"/>
      </w:r>
      <w:r>
        <w:instrText xml:space="preserve"> HYPERLINK \l "_Toc190875409" </w:instrText>
      </w:r>
      <w:r>
        <w:fldChar w:fldCharType="separate"/>
      </w:r>
      <w:r>
        <w:rPr>
          <w:rStyle w:val="24"/>
          <w:rFonts w:hint="eastAsia"/>
          <w:b/>
          <w:bCs/>
        </w:rPr>
        <w:t>3.3 人员职责</w:t>
      </w:r>
      <w:r>
        <w:rPr>
          <w:rFonts w:hint="eastAsia"/>
        </w:rPr>
        <w:tab/>
      </w:r>
      <w:r>
        <w:rPr>
          <w:rFonts w:hint="eastAsia"/>
        </w:rPr>
        <w:fldChar w:fldCharType="begin"/>
      </w:r>
      <w:r>
        <w:rPr>
          <w:rFonts w:hint="eastAsia"/>
        </w:rPr>
        <w:instrText xml:space="preserve"> </w:instrText>
      </w:r>
      <w:r>
        <w:instrText xml:space="preserve">PAGEREF _Toc190875409 \h</w:instrText>
      </w:r>
      <w:r>
        <w:rPr>
          <w:rFonts w:hint="eastAsia"/>
        </w:rPr>
        <w:instrText xml:space="preserve"> </w:instrText>
      </w:r>
      <w:r>
        <w:rPr>
          <w:rFonts w:hint="eastAsia"/>
        </w:rPr>
        <w:fldChar w:fldCharType="separate"/>
      </w:r>
      <w:r>
        <w:rPr>
          <w:rFonts w:hint="eastAsia"/>
        </w:rPr>
        <w:t>6</w:t>
      </w:r>
      <w:r>
        <w:rPr>
          <w:rFonts w:hint="eastAsia"/>
        </w:rPr>
        <w:fldChar w:fldCharType="end"/>
      </w:r>
      <w:r>
        <w:rPr>
          <w:rFonts w:hint="eastAsia"/>
        </w:rPr>
        <w:fldChar w:fldCharType="end"/>
      </w:r>
    </w:p>
    <w:p w14:paraId="2621E32B">
      <w:pPr>
        <w:pStyle w:val="17"/>
        <w:tabs>
          <w:tab w:val="right" w:leader="dot" w:pos="8296"/>
        </w:tabs>
        <w:rPr>
          <w:rFonts w:hint="eastAsia" w:cstheme="minorBidi"/>
          <w:kern w:val="2"/>
          <w:szCs w:val="24"/>
          <w14:ligatures w14:val="standardContextual"/>
        </w:rPr>
      </w:pPr>
      <w:r>
        <w:fldChar w:fldCharType="begin"/>
      </w:r>
      <w:r>
        <w:instrText xml:space="preserve"> HYPERLINK \l "_Toc190875410" </w:instrText>
      </w:r>
      <w:r>
        <w:fldChar w:fldCharType="separate"/>
      </w:r>
      <w:r>
        <w:rPr>
          <w:rStyle w:val="24"/>
          <w:rFonts w:hint="eastAsia"/>
          <w:b/>
          <w:bCs/>
        </w:rPr>
        <w:t>4 投资决策综合性咨询</w:t>
      </w:r>
      <w:r>
        <w:rPr>
          <w:rFonts w:hint="eastAsia"/>
        </w:rPr>
        <w:tab/>
      </w:r>
      <w:r>
        <w:rPr>
          <w:rFonts w:hint="eastAsia"/>
        </w:rPr>
        <w:fldChar w:fldCharType="begin"/>
      </w:r>
      <w:r>
        <w:rPr>
          <w:rFonts w:hint="eastAsia"/>
        </w:rPr>
        <w:instrText xml:space="preserve"> </w:instrText>
      </w:r>
      <w:r>
        <w:instrText xml:space="preserve">PAGEREF _Toc190875410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7D14B7D1">
      <w:pPr>
        <w:pStyle w:val="19"/>
        <w:tabs>
          <w:tab w:val="right" w:leader="dot" w:pos="8296"/>
        </w:tabs>
        <w:rPr>
          <w:rFonts w:hint="eastAsia" w:cstheme="minorBidi"/>
          <w:kern w:val="2"/>
          <w:szCs w:val="24"/>
          <w14:ligatures w14:val="standardContextual"/>
        </w:rPr>
      </w:pPr>
      <w:r>
        <w:fldChar w:fldCharType="begin"/>
      </w:r>
      <w:r>
        <w:instrText xml:space="preserve"> HYPERLINK \l "_Toc190875411" </w:instrText>
      </w:r>
      <w:r>
        <w:fldChar w:fldCharType="separate"/>
      </w:r>
      <w:r>
        <w:rPr>
          <w:rStyle w:val="24"/>
          <w:rFonts w:hint="eastAsia"/>
          <w:b/>
          <w:bCs/>
        </w:rPr>
        <w:t>4.1 一般规定</w:t>
      </w:r>
      <w:r>
        <w:rPr>
          <w:rFonts w:hint="eastAsia"/>
        </w:rPr>
        <w:tab/>
      </w:r>
      <w:r>
        <w:rPr>
          <w:rFonts w:hint="eastAsia"/>
        </w:rPr>
        <w:fldChar w:fldCharType="begin"/>
      </w:r>
      <w:r>
        <w:rPr>
          <w:rFonts w:hint="eastAsia"/>
        </w:rPr>
        <w:instrText xml:space="preserve"> </w:instrText>
      </w:r>
      <w:r>
        <w:instrText xml:space="preserve">PAGEREF _Toc190875411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1EDCCCE8">
      <w:pPr>
        <w:pStyle w:val="19"/>
        <w:tabs>
          <w:tab w:val="right" w:leader="dot" w:pos="8296"/>
        </w:tabs>
        <w:rPr>
          <w:rFonts w:hint="eastAsia" w:cstheme="minorBidi"/>
          <w:kern w:val="2"/>
          <w:szCs w:val="24"/>
          <w14:ligatures w14:val="standardContextual"/>
        </w:rPr>
      </w:pPr>
      <w:r>
        <w:fldChar w:fldCharType="begin"/>
      </w:r>
      <w:r>
        <w:instrText xml:space="preserve"> HYPERLINK \l "_Toc190875412" </w:instrText>
      </w:r>
      <w:r>
        <w:fldChar w:fldCharType="separate"/>
      </w:r>
      <w:r>
        <w:rPr>
          <w:rStyle w:val="24"/>
          <w:rFonts w:hint="eastAsia"/>
          <w:b/>
          <w:bCs/>
        </w:rPr>
        <w:t>4.2 可行性研究</w:t>
      </w:r>
      <w:r>
        <w:rPr>
          <w:rFonts w:hint="eastAsia"/>
        </w:rPr>
        <w:tab/>
      </w:r>
      <w:r>
        <w:rPr>
          <w:rFonts w:hint="eastAsia"/>
        </w:rPr>
        <w:fldChar w:fldCharType="begin"/>
      </w:r>
      <w:r>
        <w:rPr>
          <w:rFonts w:hint="eastAsia"/>
        </w:rPr>
        <w:instrText xml:space="preserve"> </w:instrText>
      </w:r>
      <w:r>
        <w:instrText xml:space="preserve">PAGEREF _Toc190875412 \h</w:instrText>
      </w:r>
      <w:r>
        <w:rPr>
          <w:rFonts w:hint="eastAsia"/>
        </w:rPr>
        <w:instrText xml:space="preserve"> </w:instrText>
      </w:r>
      <w:r>
        <w:rPr>
          <w:rFonts w:hint="eastAsia"/>
        </w:rPr>
        <w:fldChar w:fldCharType="separate"/>
      </w:r>
      <w:r>
        <w:rPr>
          <w:rFonts w:hint="eastAsia"/>
        </w:rPr>
        <w:t>9</w:t>
      </w:r>
      <w:r>
        <w:rPr>
          <w:rFonts w:hint="eastAsia"/>
        </w:rPr>
        <w:fldChar w:fldCharType="end"/>
      </w:r>
      <w:r>
        <w:rPr>
          <w:rFonts w:hint="eastAsia"/>
        </w:rPr>
        <w:fldChar w:fldCharType="end"/>
      </w:r>
    </w:p>
    <w:p w14:paraId="17AD9D0D">
      <w:pPr>
        <w:pStyle w:val="19"/>
        <w:tabs>
          <w:tab w:val="right" w:leader="dot" w:pos="8296"/>
        </w:tabs>
        <w:rPr>
          <w:rFonts w:hint="eastAsia" w:cstheme="minorBidi"/>
          <w:kern w:val="2"/>
          <w:szCs w:val="24"/>
          <w14:ligatures w14:val="standardContextual"/>
        </w:rPr>
      </w:pPr>
      <w:r>
        <w:fldChar w:fldCharType="begin"/>
      </w:r>
      <w:r>
        <w:instrText xml:space="preserve"> HYPERLINK \l "_Toc190875413" </w:instrText>
      </w:r>
      <w:r>
        <w:fldChar w:fldCharType="separate"/>
      </w:r>
      <w:r>
        <w:rPr>
          <w:rStyle w:val="24"/>
          <w:rFonts w:hint="eastAsia"/>
          <w:b/>
          <w:bCs/>
        </w:rPr>
        <w:t>4.3 建设项目用地与选址论证</w:t>
      </w:r>
      <w:r>
        <w:rPr>
          <w:rFonts w:hint="eastAsia"/>
        </w:rPr>
        <w:tab/>
      </w:r>
      <w:r>
        <w:rPr>
          <w:rFonts w:hint="eastAsia"/>
        </w:rPr>
        <w:fldChar w:fldCharType="begin"/>
      </w:r>
      <w:r>
        <w:rPr>
          <w:rFonts w:hint="eastAsia"/>
        </w:rPr>
        <w:instrText xml:space="preserve"> </w:instrText>
      </w:r>
      <w:r>
        <w:instrText xml:space="preserve">PAGEREF _Toc190875413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7A6EBB1C">
      <w:pPr>
        <w:pStyle w:val="19"/>
        <w:tabs>
          <w:tab w:val="right" w:leader="dot" w:pos="8296"/>
        </w:tabs>
        <w:rPr>
          <w:rFonts w:hint="eastAsia" w:cstheme="minorBidi"/>
          <w:kern w:val="2"/>
          <w:szCs w:val="24"/>
          <w14:ligatures w14:val="standardContextual"/>
        </w:rPr>
      </w:pPr>
      <w:r>
        <w:fldChar w:fldCharType="begin"/>
      </w:r>
      <w:r>
        <w:instrText xml:space="preserve"> HYPERLINK \l "_Toc190875414" </w:instrText>
      </w:r>
      <w:r>
        <w:fldChar w:fldCharType="separate"/>
      </w:r>
      <w:r>
        <w:rPr>
          <w:rStyle w:val="24"/>
          <w:rFonts w:hint="eastAsia"/>
          <w:b/>
          <w:bCs/>
        </w:rPr>
        <w:t>4.4 建设项目环境影响评价</w:t>
      </w:r>
      <w:r>
        <w:rPr>
          <w:rFonts w:hint="eastAsia"/>
        </w:rPr>
        <w:tab/>
      </w:r>
      <w:r>
        <w:rPr>
          <w:rFonts w:hint="eastAsia"/>
        </w:rPr>
        <w:fldChar w:fldCharType="begin"/>
      </w:r>
      <w:r>
        <w:rPr>
          <w:rFonts w:hint="eastAsia"/>
        </w:rPr>
        <w:instrText xml:space="preserve"> </w:instrText>
      </w:r>
      <w:r>
        <w:instrText xml:space="preserve">PAGEREF _Toc190875414 \h</w:instrText>
      </w:r>
      <w:r>
        <w:rPr>
          <w:rFonts w:hint="eastAsia"/>
        </w:rPr>
        <w:instrText xml:space="preserve"> </w:instrText>
      </w:r>
      <w:r>
        <w:rPr>
          <w:rFonts w:hint="eastAsia"/>
        </w:rPr>
        <w:fldChar w:fldCharType="separate"/>
      </w:r>
      <w:r>
        <w:rPr>
          <w:rFonts w:hint="eastAsia"/>
        </w:rPr>
        <w:t>10</w:t>
      </w:r>
      <w:r>
        <w:rPr>
          <w:rFonts w:hint="eastAsia"/>
        </w:rPr>
        <w:fldChar w:fldCharType="end"/>
      </w:r>
      <w:r>
        <w:rPr>
          <w:rFonts w:hint="eastAsia"/>
        </w:rPr>
        <w:fldChar w:fldCharType="end"/>
      </w:r>
    </w:p>
    <w:p w14:paraId="050D14A4">
      <w:pPr>
        <w:pStyle w:val="19"/>
        <w:tabs>
          <w:tab w:val="right" w:leader="dot" w:pos="8296"/>
        </w:tabs>
        <w:rPr>
          <w:rFonts w:hint="eastAsia" w:cstheme="minorBidi"/>
          <w:kern w:val="2"/>
          <w:szCs w:val="24"/>
          <w14:ligatures w14:val="standardContextual"/>
        </w:rPr>
      </w:pPr>
      <w:r>
        <w:fldChar w:fldCharType="begin"/>
      </w:r>
      <w:r>
        <w:instrText xml:space="preserve"> HYPERLINK \l "_Toc190875415" </w:instrText>
      </w:r>
      <w:r>
        <w:fldChar w:fldCharType="separate"/>
      </w:r>
      <w:r>
        <w:rPr>
          <w:rStyle w:val="24"/>
          <w:rFonts w:hint="eastAsia"/>
          <w:b/>
          <w:bCs/>
        </w:rPr>
        <w:t>4.5 社会风险评估</w:t>
      </w:r>
      <w:r>
        <w:rPr>
          <w:rFonts w:hint="eastAsia"/>
        </w:rPr>
        <w:tab/>
      </w:r>
      <w:r>
        <w:rPr>
          <w:rFonts w:hint="eastAsia"/>
        </w:rPr>
        <w:fldChar w:fldCharType="begin"/>
      </w:r>
      <w:r>
        <w:rPr>
          <w:rFonts w:hint="eastAsia"/>
        </w:rPr>
        <w:instrText xml:space="preserve"> </w:instrText>
      </w:r>
      <w:r>
        <w:instrText xml:space="preserve">PAGEREF _Toc190875415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14:paraId="61DD879B">
      <w:pPr>
        <w:pStyle w:val="19"/>
        <w:tabs>
          <w:tab w:val="right" w:leader="dot" w:pos="8296"/>
        </w:tabs>
        <w:rPr>
          <w:rFonts w:hint="eastAsia" w:cstheme="minorBidi"/>
          <w:kern w:val="2"/>
          <w:szCs w:val="24"/>
          <w14:ligatures w14:val="standardContextual"/>
        </w:rPr>
      </w:pPr>
      <w:r>
        <w:fldChar w:fldCharType="begin"/>
      </w:r>
      <w:r>
        <w:instrText xml:space="preserve"> HYPERLINK \l "_Toc190875416" </w:instrText>
      </w:r>
      <w:r>
        <w:fldChar w:fldCharType="separate"/>
      </w:r>
      <w:r>
        <w:rPr>
          <w:rStyle w:val="24"/>
          <w:rFonts w:hint="eastAsia"/>
          <w:b/>
          <w:bCs/>
        </w:rPr>
        <w:t>4.6 建设项目压覆重要矿产资源评估</w:t>
      </w:r>
      <w:r>
        <w:rPr>
          <w:rFonts w:hint="eastAsia"/>
        </w:rPr>
        <w:tab/>
      </w:r>
      <w:r>
        <w:rPr>
          <w:rFonts w:hint="eastAsia"/>
        </w:rPr>
        <w:fldChar w:fldCharType="begin"/>
      </w:r>
      <w:r>
        <w:rPr>
          <w:rFonts w:hint="eastAsia"/>
        </w:rPr>
        <w:instrText xml:space="preserve"> </w:instrText>
      </w:r>
      <w:r>
        <w:instrText xml:space="preserve">PAGEREF _Toc190875416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14:paraId="0AA82FB6">
      <w:pPr>
        <w:pStyle w:val="19"/>
        <w:tabs>
          <w:tab w:val="right" w:leader="dot" w:pos="8296"/>
        </w:tabs>
        <w:rPr>
          <w:rFonts w:hint="eastAsia" w:cstheme="minorBidi"/>
          <w:kern w:val="2"/>
          <w:szCs w:val="24"/>
          <w14:ligatures w14:val="standardContextual"/>
        </w:rPr>
      </w:pPr>
      <w:r>
        <w:fldChar w:fldCharType="begin"/>
      </w:r>
      <w:r>
        <w:instrText xml:space="preserve"> HYPERLINK \l "_Toc190875417" </w:instrText>
      </w:r>
      <w:r>
        <w:fldChar w:fldCharType="separate"/>
      </w:r>
      <w:r>
        <w:rPr>
          <w:rStyle w:val="24"/>
          <w:rFonts w:hint="eastAsia"/>
          <w:b/>
          <w:bCs/>
        </w:rPr>
        <w:t>4.7 防洪影响评价</w:t>
      </w:r>
      <w:r>
        <w:rPr>
          <w:rFonts w:hint="eastAsia"/>
        </w:rPr>
        <w:tab/>
      </w:r>
      <w:r>
        <w:rPr>
          <w:rFonts w:hint="eastAsia"/>
        </w:rPr>
        <w:fldChar w:fldCharType="begin"/>
      </w:r>
      <w:r>
        <w:rPr>
          <w:rFonts w:hint="eastAsia"/>
        </w:rPr>
        <w:instrText xml:space="preserve"> </w:instrText>
      </w:r>
      <w:r>
        <w:instrText xml:space="preserve">PAGEREF _Toc190875417 \h</w:instrText>
      </w:r>
      <w:r>
        <w:rPr>
          <w:rFonts w:hint="eastAsia"/>
        </w:rPr>
        <w:instrText xml:space="preserve"> </w:instrText>
      </w:r>
      <w:r>
        <w:rPr>
          <w:rFonts w:hint="eastAsia"/>
        </w:rPr>
        <w:fldChar w:fldCharType="separate"/>
      </w:r>
      <w:r>
        <w:rPr>
          <w:rFonts w:hint="eastAsia"/>
        </w:rPr>
        <w:t>11</w:t>
      </w:r>
      <w:r>
        <w:rPr>
          <w:rFonts w:hint="eastAsia"/>
        </w:rPr>
        <w:fldChar w:fldCharType="end"/>
      </w:r>
      <w:r>
        <w:rPr>
          <w:rFonts w:hint="eastAsia"/>
        </w:rPr>
        <w:fldChar w:fldCharType="end"/>
      </w:r>
    </w:p>
    <w:p w14:paraId="713B09E5">
      <w:pPr>
        <w:pStyle w:val="19"/>
        <w:tabs>
          <w:tab w:val="right" w:leader="dot" w:pos="8296"/>
        </w:tabs>
        <w:rPr>
          <w:rFonts w:hint="eastAsia" w:cstheme="minorBidi"/>
          <w:kern w:val="2"/>
          <w:szCs w:val="24"/>
          <w14:ligatures w14:val="standardContextual"/>
        </w:rPr>
      </w:pPr>
      <w:r>
        <w:fldChar w:fldCharType="begin"/>
      </w:r>
      <w:r>
        <w:instrText xml:space="preserve"> HYPERLINK \l "_Toc190875418" </w:instrText>
      </w:r>
      <w:r>
        <w:fldChar w:fldCharType="separate"/>
      </w:r>
      <w:r>
        <w:rPr>
          <w:rStyle w:val="24"/>
          <w:rFonts w:hint="eastAsia"/>
          <w:b/>
          <w:bCs/>
        </w:rPr>
        <w:t>4.8 生产建设项目水土保持方案</w:t>
      </w:r>
      <w:r>
        <w:rPr>
          <w:rFonts w:hint="eastAsia"/>
        </w:rPr>
        <w:tab/>
      </w:r>
      <w:r>
        <w:rPr>
          <w:rFonts w:hint="eastAsia"/>
        </w:rPr>
        <w:fldChar w:fldCharType="begin"/>
      </w:r>
      <w:r>
        <w:rPr>
          <w:rFonts w:hint="eastAsia"/>
        </w:rPr>
        <w:instrText xml:space="preserve"> </w:instrText>
      </w:r>
      <w:r>
        <w:instrText xml:space="preserve">PAGEREF _Toc190875418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00F7798D">
      <w:pPr>
        <w:pStyle w:val="19"/>
        <w:tabs>
          <w:tab w:val="right" w:leader="dot" w:pos="8296"/>
        </w:tabs>
        <w:rPr>
          <w:rFonts w:hint="eastAsia" w:cstheme="minorBidi"/>
          <w:kern w:val="2"/>
          <w:szCs w:val="24"/>
          <w14:ligatures w14:val="standardContextual"/>
        </w:rPr>
      </w:pPr>
      <w:r>
        <w:fldChar w:fldCharType="begin"/>
      </w:r>
      <w:r>
        <w:instrText xml:space="preserve"> HYPERLINK \l "_Toc190875419" </w:instrText>
      </w:r>
      <w:r>
        <w:fldChar w:fldCharType="separate"/>
      </w:r>
      <w:r>
        <w:rPr>
          <w:rStyle w:val="24"/>
          <w:rFonts w:hint="eastAsia"/>
          <w:b/>
          <w:bCs/>
        </w:rPr>
        <w:t>4.9 水资源论证</w:t>
      </w:r>
      <w:r>
        <w:rPr>
          <w:rFonts w:hint="eastAsia"/>
        </w:rPr>
        <w:tab/>
      </w:r>
      <w:r>
        <w:rPr>
          <w:rFonts w:hint="eastAsia"/>
        </w:rPr>
        <w:fldChar w:fldCharType="begin"/>
      </w:r>
      <w:r>
        <w:rPr>
          <w:rFonts w:hint="eastAsia"/>
        </w:rPr>
        <w:instrText xml:space="preserve"> </w:instrText>
      </w:r>
      <w:r>
        <w:instrText xml:space="preserve">PAGEREF _Toc190875419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30FEC44E">
      <w:pPr>
        <w:pStyle w:val="19"/>
        <w:tabs>
          <w:tab w:val="right" w:leader="dot" w:pos="8296"/>
        </w:tabs>
        <w:rPr>
          <w:rFonts w:hint="eastAsia" w:cstheme="minorBidi"/>
          <w:kern w:val="2"/>
          <w:szCs w:val="24"/>
          <w14:ligatures w14:val="standardContextual"/>
        </w:rPr>
      </w:pPr>
      <w:r>
        <w:fldChar w:fldCharType="begin"/>
      </w:r>
      <w:r>
        <w:instrText xml:space="preserve"> HYPERLINK \l "_Toc190875420" </w:instrText>
      </w:r>
      <w:r>
        <w:fldChar w:fldCharType="separate"/>
      </w:r>
      <w:r>
        <w:rPr>
          <w:rStyle w:val="24"/>
          <w:rFonts w:hint="eastAsia"/>
          <w:b/>
          <w:bCs/>
        </w:rPr>
        <w:t>4.10 建设工程文物保护</w:t>
      </w:r>
      <w:r>
        <w:rPr>
          <w:rFonts w:hint="eastAsia"/>
        </w:rPr>
        <w:tab/>
      </w:r>
      <w:r>
        <w:rPr>
          <w:rFonts w:hint="eastAsia"/>
        </w:rPr>
        <w:fldChar w:fldCharType="begin"/>
      </w:r>
      <w:r>
        <w:rPr>
          <w:rFonts w:hint="eastAsia"/>
        </w:rPr>
        <w:instrText xml:space="preserve"> </w:instrText>
      </w:r>
      <w:r>
        <w:instrText xml:space="preserve">PAGEREF _Toc190875420 \h</w:instrText>
      </w:r>
      <w:r>
        <w:rPr>
          <w:rFonts w:hint="eastAsia"/>
        </w:rPr>
        <w:instrText xml:space="preserve"> </w:instrText>
      </w:r>
      <w:r>
        <w:rPr>
          <w:rFonts w:hint="eastAsia"/>
        </w:rPr>
        <w:fldChar w:fldCharType="separate"/>
      </w:r>
      <w:r>
        <w:rPr>
          <w:rFonts w:hint="eastAsia"/>
        </w:rPr>
        <w:t>12</w:t>
      </w:r>
      <w:r>
        <w:rPr>
          <w:rFonts w:hint="eastAsia"/>
        </w:rPr>
        <w:fldChar w:fldCharType="end"/>
      </w:r>
      <w:r>
        <w:rPr>
          <w:rFonts w:hint="eastAsia"/>
        </w:rPr>
        <w:fldChar w:fldCharType="end"/>
      </w:r>
    </w:p>
    <w:p w14:paraId="38BDB303">
      <w:pPr>
        <w:pStyle w:val="17"/>
        <w:tabs>
          <w:tab w:val="right" w:leader="dot" w:pos="8296"/>
        </w:tabs>
        <w:rPr>
          <w:rFonts w:hint="eastAsia" w:cstheme="minorBidi"/>
          <w:kern w:val="2"/>
          <w:szCs w:val="24"/>
          <w14:ligatures w14:val="standardContextual"/>
        </w:rPr>
      </w:pPr>
      <w:r>
        <w:fldChar w:fldCharType="begin"/>
      </w:r>
      <w:r>
        <w:instrText xml:space="preserve"> HYPERLINK \l "_Toc190875421" </w:instrText>
      </w:r>
      <w:r>
        <w:fldChar w:fldCharType="separate"/>
      </w:r>
      <w:r>
        <w:rPr>
          <w:rStyle w:val="24"/>
          <w:rFonts w:hint="eastAsia"/>
          <w:b/>
          <w:bCs/>
        </w:rPr>
        <w:t>5 工程建设全过程咨询</w:t>
      </w:r>
      <w:r>
        <w:rPr>
          <w:rFonts w:hint="eastAsia"/>
        </w:rPr>
        <w:tab/>
      </w:r>
      <w:r>
        <w:rPr>
          <w:rFonts w:hint="eastAsia"/>
        </w:rPr>
        <w:fldChar w:fldCharType="begin"/>
      </w:r>
      <w:r>
        <w:rPr>
          <w:rFonts w:hint="eastAsia"/>
        </w:rPr>
        <w:instrText xml:space="preserve"> </w:instrText>
      </w:r>
      <w:r>
        <w:instrText xml:space="preserve">PAGEREF _Toc190875421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608954CA">
      <w:pPr>
        <w:pStyle w:val="19"/>
        <w:tabs>
          <w:tab w:val="right" w:leader="dot" w:pos="8296"/>
        </w:tabs>
        <w:rPr>
          <w:rFonts w:hint="eastAsia" w:cstheme="minorBidi"/>
          <w:kern w:val="2"/>
          <w:szCs w:val="24"/>
          <w14:ligatures w14:val="standardContextual"/>
        </w:rPr>
      </w:pPr>
      <w:r>
        <w:fldChar w:fldCharType="begin"/>
      </w:r>
      <w:r>
        <w:instrText xml:space="preserve"> HYPERLINK \l "_Toc190875422" </w:instrText>
      </w:r>
      <w:r>
        <w:fldChar w:fldCharType="separate"/>
      </w:r>
      <w:r>
        <w:rPr>
          <w:rStyle w:val="24"/>
          <w:rFonts w:hint="eastAsia"/>
          <w:b/>
          <w:bCs/>
        </w:rPr>
        <w:t>5.1 一般规定</w:t>
      </w:r>
      <w:r>
        <w:rPr>
          <w:rFonts w:hint="eastAsia"/>
        </w:rPr>
        <w:tab/>
      </w:r>
      <w:r>
        <w:rPr>
          <w:rFonts w:hint="eastAsia"/>
        </w:rPr>
        <w:fldChar w:fldCharType="begin"/>
      </w:r>
      <w:r>
        <w:rPr>
          <w:rFonts w:hint="eastAsia"/>
        </w:rPr>
        <w:instrText xml:space="preserve"> </w:instrText>
      </w:r>
      <w:r>
        <w:instrText xml:space="preserve">PAGEREF _Toc190875422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0F86B1B0">
      <w:pPr>
        <w:pStyle w:val="19"/>
        <w:tabs>
          <w:tab w:val="right" w:leader="dot" w:pos="8296"/>
        </w:tabs>
        <w:rPr>
          <w:rFonts w:hint="eastAsia" w:cstheme="minorBidi"/>
          <w:kern w:val="2"/>
          <w:szCs w:val="24"/>
          <w14:ligatures w14:val="standardContextual"/>
        </w:rPr>
      </w:pPr>
      <w:r>
        <w:fldChar w:fldCharType="begin"/>
      </w:r>
      <w:r>
        <w:instrText xml:space="preserve"> HYPERLINK \l "_Toc190875423" </w:instrText>
      </w:r>
      <w:r>
        <w:fldChar w:fldCharType="separate"/>
      </w:r>
      <w:r>
        <w:rPr>
          <w:rStyle w:val="24"/>
          <w:rFonts w:hint="eastAsia"/>
          <w:b/>
          <w:bCs/>
        </w:rPr>
        <w:t>5.2 工程报批报建</w:t>
      </w:r>
      <w:r>
        <w:rPr>
          <w:rFonts w:hint="eastAsia"/>
        </w:rPr>
        <w:tab/>
      </w:r>
      <w:r>
        <w:rPr>
          <w:rFonts w:hint="eastAsia"/>
        </w:rPr>
        <w:fldChar w:fldCharType="begin"/>
      </w:r>
      <w:r>
        <w:rPr>
          <w:rFonts w:hint="eastAsia"/>
        </w:rPr>
        <w:instrText xml:space="preserve"> </w:instrText>
      </w:r>
      <w:r>
        <w:instrText xml:space="preserve">PAGEREF _Toc190875423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3D5B5A6B">
      <w:pPr>
        <w:pStyle w:val="19"/>
        <w:tabs>
          <w:tab w:val="right" w:leader="dot" w:pos="8296"/>
        </w:tabs>
        <w:rPr>
          <w:rFonts w:hint="eastAsia" w:cstheme="minorBidi"/>
          <w:kern w:val="2"/>
          <w:szCs w:val="24"/>
          <w14:ligatures w14:val="standardContextual"/>
        </w:rPr>
      </w:pPr>
      <w:r>
        <w:fldChar w:fldCharType="begin"/>
      </w:r>
      <w:r>
        <w:instrText xml:space="preserve"> HYPERLINK \l "_Toc190875424" </w:instrText>
      </w:r>
      <w:r>
        <w:fldChar w:fldCharType="separate"/>
      </w:r>
      <w:r>
        <w:rPr>
          <w:rStyle w:val="24"/>
          <w:rFonts w:hint="eastAsia"/>
          <w:b/>
          <w:bCs/>
        </w:rPr>
        <w:t>5.3 工程勘察设计管理</w:t>
      </w:r>
      <w:r>
        <w:rPr>
          <w:rFonts w:hint="eastAsia"/>
        </w:rPr>
        <w:tab/>
      </w:r>
      <w:r>
        <w:rPr>
          <w:rFonts w:hint="eastAsia"/>
        </w:rPr>
        <w:fldChar w:fldCharType="begin"/>
      </w:r>
      <w:r>
        <w:rPr>
          <w:rFonts w:hint="eastAsia"/>
        </w:rPr>
        <w:instrText xml:space="preserve"> </w:instrText>
      </w:r>
      <w:r>
        <w:instrText xml:space="preserve">PAGEREF _Toc190875424 \h</w:instrText>
      </w:r>
      <w:r>
        <w:rPr>
          <w:rFonts w:hint="eastAsia"/>
        </w:rPr>
        <w:instrText xml:space="preserve"> </w:instrText>
      </w:r>
      <w:r>
        <w:rPr>
          <w:rFonts w:hint="eastAsia"/>
        </w:rPr>
        <w:fldChar w:fldCharType="separate"/>
      </w:r>
      <w:r>
        <w:rPr>
          <w:rFonts w:hint="eastAsia"/>
        </w:rPr>
        <w:t>14</w:t>
      </w:r>
      <w:r>
        <w:rPr>
          <w:rFonts w:hint="eastAsia"/>
        </w:rPr>
        <w:fldChar w:fldCharType="end"/>
      </w:r>
      <w:r>
        <w:rPr>
          <w:rFonts w:hint="eastAsia"/>
        </w:rPr>
        <w:fldChar w:fldCharType="end"/>
      </w:r>
    </w:p>
    <w:p w14:paraId="74A89E86">
      <w:pPr>
        <w:pStyle w:val="19"/>
        <w:tabs>
          <w:tab w:val="right" w:leader="dot" w:pos="8296"/>
        </w:tabs>
        <w:rPr>
          <w:rFonts w:hint="eastAsia" w:cstheme="minorBidi"/>
          <w:kern w:val="2"/>
          <w:szCs w:val="24"/>
          <w14:ligatures w14:val="standardContextual"/>
        </w:rPr>
      </w:pPr>
      <w:r>
        <w:fldChar w:fldCharType="begin"/>
      </w:r>
      <w:r>
        <w:instrText xml:space="preserve"> HYPERLINK \l "_Toc190875425" </w:instrText>
      </w:r>
      <w:r>
        <w:fldChar w:fldCharType="separate"/>
      </w:r>
      <w:r>
        <w:rPr>
          <w:rStyle w:val="24"/>
          <w:rFonts w:hint="eastAsia"/>
          <w:b/>
          <w:bCs/>
        </w:rPr>
        <w:t>5.4 工程采购咨询</w:t>
      </w:r>
      <w:r>
        <w:rPr>
          <w:rFonts w:hint="eastAsia"/>
        </w:rPr>
        <w:tab/>
      </w:r>
      <w:r>
        <w:rPr>
          <w:rFonts w:hint="eastAsia"/>
        </w:rPr>
        <w:fldChar w:fldCharType="begin"/>
      </w:r>
      <w:r>
        <w:rPr>
          <w:rFonts w:hint="eastAsia"/>
        </w:rPr>
        <w:instrText xml:space="preserve"> </w:instrText>
      </w:r>
      <w:r>
        <w:instrText xml:space="preserve">PAGEREF _Toc190875425 \h</w:instrText>
      </w:r>
      <w:r>
        <w:rPr>
          <w:rFonts w:hint="eastAsia"/>
        </w:rPr>
        <w:instrText xml:space="preserve"> </w:instrText>
      </w:r>
      <w:r>
        <w:rPr>
          <w:rFonts w:hint="eastAsia"/>
        </w:rPr>
        <w:fldChar w:fldCharType="separate"/>
      </w:r>
      <w:r>
        <w:rPr>
          <w:rFonts w:hint="eastAsia"/>
        </w:rPr>
        <w:t>17</w:t>
      </w:r>
      <w:r>
        <w:rPr>
          <w:rFonts w:hint="eastAsia"/>
        </w:rPr>
        <w:fldChar w:fldCharType="end"/>
      </w:r>
      <w:r>
        <w:rPr>
          <w:rFonts w:hint="eastAsia"/>
        </w:rPr>
        <w:fldChar w:fldCharType="end"/>
      </w:r>
    </w:p>
    <w:p w14:paraId="03D66ADA">
      <w:pPr>
        <w:pStyle w:val="19"/>
        <w:tabs>
          <w:tab w:val="right" w:leader="dot" w:pos="8296"/>
        </w:tabs>
        <w:rPr>
          <w:rFonts w:hint="eastAsia" w:cstheme="minorBidi"/>
          <w:kern w:val="2"/>
          <w:szCs w:val="24"/>
          <w14:ligatures w14:val="standardContextual"/>
        </w:rPr>
      </w:pPr>
      <w:r>
        <w:fldChar w:fldCharType="begin"/>
      </w:r>
      <w:r>
        <w:instrText xml:space="preserve"> HYPERLINK \l "_Toc190875426" </w:instrText>
      </w:r>
      <w:r>
        <w:fldChar w:fldCharType="separate"/>
      </w:r>
      <w:r>
        <w:rPr>
          <w:rStyle w:val="24"/>
          <w:rFonts w:hint="eastAsia"/>
          <w:b/>
          <w:bCs/>
        </w:rPr>
        <w:t>5.5 工程监理</w:t>
      </w:r>
      <w:r>
        <w:rPr>
          <w:rFonts w:hint="eastAsia"/>
        </w:rPr>
        <w:tab/>
      </w:r>
      <w:r>
        <w:rPr>
          <w:rFonts w:hint="eastAsia"/>
        </w:rPr>
        <w:fldChar w:fldCharType="begin"/>
      </w:r>
      <w:r>
        <w:rPr>
          <w:rFonts w:hint="eastAsia"/>
        </w:rPr>
        <w:instrText xml:space="preserve"> </w:instrText>
      </w:r>
      <w:r>
        <w:instrText xml:space="preserve">PAGEREF _Toc190875426 \h</w:instrText>
      </w:r>
      <w:r>
        <w:rPr>
          <w:rFonts w:hint="eastAsia"/>
        </w:rPr>
        <w:instrText xml:space="preserve"> </w:instrText>
      </w:r>
      <w:r>
        <w:rPr>
          <w:rFonts w:hint="eastAsia"/>
        </w:rPr>
        <w:fldChar w:fldCharType="separate"/>
      </w:r>
      <w:r>
        <w:rPr>
          <w:rFonts w:hint="eastAsia"/>
        </w:rPr>
        <w:t>18</w:t>
      </w:r>
      <w:r>
        <w:rPr>
          <w:rFonts w:hint="eastAsia"/>
        </w:rPr>
        <w:fldChar w:fldCharType="end"/>
      </w:r>
      <w:r>
        <w:rPr>
          <w:rFonts w:hint="eastAsia"/>
        </w:rPr>
        <w:fldChar w:fldCharType="end"/>
      </w:r>
    </w:p>
    <w:p w14:paraId="53CDDD86">
      <w:pPr>
        <w:pStyle w:val="19"/>
        <w:tabs>
          <w:tab w:val="right" w:leader="dot" w:pos="8296"/>
        </w:tabs>
        <w:rPr>
          <w:rFonts w:hint="eastAsia" w:cstheme="minorBidi"/>
          <w:kern w:val="2"/>
          <w:szCs w:val="24"/>
          <w14:ligatures w14:val="standardContextual"/>
        </w:rPr>
      </w:pPr>
      <w:r>
        <w:fldChar w:fldCharType="begin"/>
      </w:r>
      <w:r>
        <w:instrText xml:space="preserve"> HYPERLINK \l "_Toc190875427" </w:instrText>
      </w:r>
      <w:r>
        <w:fldChar w:fldCharType="separate"/>
      </w:r>
      <w:r>
        <w:rPr>
          <w:rStyle w:val="24"/>
          <w:rFonts w:hint="eastAsia"/>
          <w:b/>
          <w:bCs/>
        </w:rPr>
        <w:t>5.6 施工项目管理</w:t>
      </w:r>
      <w:r>
        <w:rPr>
          <w:rFonts w:hint="eastAsia"/>
        </w:rPr>
        <w:tab/>
      </w:r>
      <w:r>
        <w:rPr>
          <w:rFonts w:hint="eastAsia"/>
        </w:rPr>
        <w:fldChar w:fldCharType="begin"/>
      </w:r>
      <w:r>
        <w:rPr>
          <w:rFonts w:hint="eastAsia"/>
        </w:rPr>
        <w:instrText xml:space="preserve"> </w:instrText>
      </w:r>
      <w:r>
        <w:instrText xml:space="preserve">PAGEREF _Toc190875427 \h</w:instrText>
      </w:r>
      <w:r>
        <w:rPr>
          <w:rFonts w:hint="eastAsia"/>
        </w:rPr>
        <w:instrText xml:space="preserve"> </w:instrText>
      </w:r>
      <w:r>
        <w:rPr>
          <w:rFonts w:hint="eastAsia"/>
        </w:rPr>
        <w:fldChar w:fldCharType="separate"/>
      </w:r>
      <w:r>
        <w:rPr>
          <w:rFonts w:hint="eastAsia"/>
        </w:rPr>
        <w:t>19</w:t>
      </w:r>
      <w:r>
        <w:rPr>
          <w:rFonts w:hint="eastAsia"/>
        </w:rPr>
        <w:fldChar w:fldCharType="end"/>
      </w:r>
      <w:r>
        <w:rPr>
          <w:rFonts w:hint="eastAsia"/>
        </w:rPr>
        <w:fldChar w:fldCharType="end"/>
      </w:r>
    </w:p>
    <w:p w14:paraId="1BB83D97">
      <w:pPr>
        <w:pStyle w:val="17"/>
        <w:tabs>
          <w:tab w:val="right" w:leader="dot" w:pos="8296"/>
        </w:tabs>
        <w:rPr>
          <w:rFonts w:hint="eastAsia" w:cstheme="minorBidi"/>
          <w:kern w:val="2"/>
          <w:szCs w:val="24"/>
          <w14:ligatures w14:val="standardContextual"/>
        </w:rPr>
      </w:pPr>
      <w:r>
        <w:fldChar w:fldCharType="begin"/>
      </w:r>
      <w:r>
        <w:instrText xml:space="preserve"> HYPERLINK \l "_Toc190875428" </w:instrText>
      </w:r>
      <w:r>
        <w:fldChar w:fldCharType="separate"/>
      </w:r>
      <w:r>
        <w:rPr>
          <w:rStyle w:val="24"/>
          <w:rFonts w:hint="eastAsia"/>
          <w:b/>
          <w:bCs/>
        </w:rPr>
        <w:t>6 专项咨询</w:t>
      </w:r>
      <w:r>
        <w:rPr>
          <w:rFonts w:hint="eastAsia"/>
        </w:rPr>
        <w:tab/>
      </w:r>
      <w:r>
        <w:rPr>
          <w:rFonts w:hint="eastAsia"/>
        </w:rPr>
        <w:fldChar w:fldCharType="begin"/>
      </w:r>
      <w:r>
        <w:rPr>
          <w:rFonts w:hint="eastAsia"/>
        </w:rPr>
        <w:instrText xml:space="preserve"> </w:instrText>
      </w:r>
      <w:r>
        <w:instrText xml:space="preserve">PAGEREF _Toc190875428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061F9084">
      <w:pPr>
        <w:pStyle w:val="19"/>
        <w:tabs>
          <w:tab w:val="right" w:leader="dot" w:pos="8296"/>
        </w:tabs>
        <w:rPr>
          <w:rFonts w:hint="eastAsia" w:cstheme="minorBidi"/>
          <w:kern w:val="2"/>
          <w:szCs w:val="24"/>
          <w14:ligatures w14:val="standardContextual"/>
        </w:rPr>
      </w:pPr>
      <w:r>
        <w:fldChar w:fldCharType="begin"/>
      </w:r>
      <w:r>
        <w:instrText xml:space="preserve"> HYPERLINK \l "_Toc190875429" </w:instrText>
      </w:r>
      <w:r>
        <w:fldChar w:fldCharType="separate"/>
      </w:r>
      <w:r>
        <w:rPr>
          <w:rStyle w:val="24"/>
          <w:rFonts w:hint="eastAsia"/>
          <w:b/>
          <w:bCs/>
        </w:rPr>
        <w:t>6.1 一般规定</w:t>
      </w:r>
      <w:r>
        <w:rPr>
          <w:rFonts w:hint="eastAsia"/>
        </w:rPr>
        <w:tab/>
      </w:r>
      <w:r>
        <w:rPr>
          <w:rFonts w:hint="eastAsia"/>
        </w:rPr>
        <w:fldChar w:fldCharType="begin"/>
      </w:r>
      <w:r>
        <w:rPr>
          <w:rFonts w:hint="eastAsia"/>
        </w:rPr>
        <w:instrText xml:space="preserve"> </w:instrText>
      </w:r>
      <w:r>
        <w:instrText xml:space="preserve">PAGEREF _Toc190875429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03F7D673">
      <w:pPr>
        <w:pStyle w:val="19"/>
        <w:tabs>
          <w:tab w:val="right" w:leader="dot" w:pos="8296"/>
        </w:tabs>
        <w:rPr>
          <w:rFonts w:hint="eastAsia" w:cstheme="minorBidi"/>
          <w:kern w:val="2"/>
          <w:szCs w:val="24"/>
          <w14:ligatures w14:val="standardContextual"/>
        </w:rPr>
      </w:pPr>
      <w:r>
        <w:fldChar w:fldCharType="begin"/>
      </w:r>
      <w:r>
        <w:instrText xml:space="preserve"> HYPERLINK \l "_Toc190875430" </w:instrText>
      </w:r>
      <w:r>
        <w:fldChar w:fldCharType="separate"/>
      </w:r>
      <w:r>
        <w:rPr>
          <w:rStyle w:val="24"/>
          <w:rFonts w:hint="eastAsia"/>
          <w:b/>
          <w:bCs/>
        </w:rPr>
        <w:t>6.2 项目融资咨询</w:t>
      </w:r>
      <w:r>
        <w:rPr>
          <w:rFonts w:hint="eastAsia"/>
        </w:rPr>
        <w:tab/>
      </w:r>
      <w:r>
        <w:rPr>
          <w:rFonts w:hint="eastAsia"/>
        </w:rPr>
        <w:fldChar w:fldCharType="begin"/>
      </w:r>
      <w:r>
        <w:rPr>
          <w:rFonts w:hint="eastAsia"/>
        </w:rPr>
        <w:instrText xml:space="preserve"> </w:instrText>
      </w:r>
      <w:r>
        <w:instrText xml:space="preserve">PAGEREF _Toc190875430 \h</w:instrText>
      </w:r>
      <w:r>
        <w:rPr>
          <w:rFonts w:hint="eastAsia"/>
        </w:rPr>
        <w:instrText xml:space="preserve"> </w:instrText>
      </w:r>
      <w:r>
        <w:rPr>
          <w:rFonts w:hint="eastAsia"/>
        </w:rPr>
        <w:fldChar w:fldCharType="separate"/>
      </w:r>
      <w:r>
        <w:rPr>
          <w:rFonts w:hint="eastAsia"/>
        </w:rPr>
        <w:t>24</w:t>
      </w:r>
      <w:r>
        <w:rPr>
          <w:rFonts w:hint="eastAsia"/>
        </w:rPr>
        <w:fldChar w:fldCharType="end"/>
      </w:r>
      <w:r>
        <w:rPr>
          <w:rFonts w:hint="eastAsia"/>
        </w:rPr>
        <w:fldChar w:fldCharType="end"/>
      </w:r>
    </w:p>
    <w:p w14:paraId="55EA999F">
      <w:pPr>
        <w:pStyle w:val="19"/>
        <w:tabs>
          <w:tab w:val="right" w:leader="dot" w:pos="8296"/>
        </w:tabs>
        <w:rPr>
          <w:rFonts w:hint="eastAsia" w:cstheme="minorBidi"/>
          <w:kern w:val="2"/>
          <w:szCs w:val="24"/>
          <w14:ligatures w14:val="standardContextual"/>
        </w:rPr>
      </w:pPr>
      <w:r>
        <w:fldChar w:fldCharType="begin"/>
      </w:r>
      <w:r>
        <w:instrText xml:space="preserve"> HYPERLINK \l "_Toc190875431" </w:instrText>
      </w:r>
      <w:r>
        <w:fldChar w:fldCharType="separate"/>
      </w:r>
      <w:r>
        <w:rPr>
          <w:rStyle w:val="24"/>
          <w:rFonts w:hint="eastAsia"/>
          <w:b/>
          <w:bCs/>
        </w:rPr>
        <w:t>6.3 工程造价咨询</w:t>
      </w:r>
      <w:r>
        <w:rPr>
          <w:rFonts w:hint="eastAsia"/>
        </w:rPr>
        <w:tab/>
      </w:r>
      <w:r>
        <w:rPr>
          <w:rFonts w:hint="eastAsia"/>
        </w:rPr>
        <w:fldChar w:fldCharType="begin"/>
      </w:r>
      <w:r>
        <w:rPr>
          <w:rFonts w:hint="eastAsia"/>
        </w:rPr>
        <w:instrText xml:space="preserve"> </w:instrText>
      </w:r>
      <w:r>
        <w:instrText xml:space="preserve">PAGEREF _Toc190875431 \h</w:instrText>
      </w:r>
      <w:r>
        <w:rPr>
          <w:rFonts w:hint="eastAsia"/>
        </w:rPr>
        <w:instrText xml:space="preserve"> </w:instrText>
      </w:r>
      <w:r>
        <w:rPr>
          <w:rFonts w:hint="eastAsia"/>
        </w:rPr>
        <w:fldChar w:fldCharType="separate"/>
      </w:r>
      <w:r>
        <w:rPr>
          <w:rFonts w:hint="eastAsia"/>
        </w:rPr>
        <w:t>25</w:t>
      </w:r>
      <w:r>
        <w:rPr>
          <w:rFonts w:hint="eastAsia"/>
        </w:rPr>
        <w:fldChar w:fldCharType="end"/>
      </w:r>
      <w:r>
        <w:rPr>
          <w:rFonts w:hint="eastAsia"/>
        </w:rPr>
        <w:fldChar w:fldCharType="end"/>
      </w:r>
    </w:p>
    <w:p w14:paraId="24144A2C">
      <w:pPr>
        <w:pStyle w:val="19"/>
        <w:tabs>
          <w:tab w:val="right" w:leader="dot" w:pos="8296"/>
        </w:tabs>
        <w:rPr>
          <w:rFonts w:hint="eastAsia" w:cstheme="minorBidi"/>
          <w:kern w:val="2"/>
          <w:szCs w:val="24"/>
          <w14:ligatures w14:val="standardContextual"/>
        </w:rPr>
      </w:pPr>
      <w:r>
        <w:fldChar w:fldCharType="begin"/>
      </w:r>
      <w:r>
        <w:instrText xml:space="preserve"> HYPERLINK \l "_Toc190875432" </w:instrText>
      </w:r>
      <w:r>
        <w:fldChar w:fldCharType="separate"/>
      </w:r>
      <w:r>
        <w:rPr>
          <w:rStyle w:val="24"/>
          <w:rFonts w:hint="eastAsia"/>
          <w:b/>
          <w:bCs/>
        </w:rPr>
        <w:t>6.4 建筑节能与绿色建筑咨询</w:t>
      </w:r>
      <w:r>
        <w:rPr>
          <w:rFonts w:hint="eastAsia"/>
        </w:rPr>
        <w:tab/>
      </w:r>
      <w:r>
        <w:rPr>
          <w:rFonts w:hint="eastAsia"/>
        </w:rPr>
        <w:fldChar w:fldCharType="begin"/>
      </w:r>
      <w:r>
        <w:rPr>
          <w:rFonts w:hint="eastAsia"/>
        </w:rPr>
        <w:instrText xml:space="preserve"> </w:instrText>
      </w:r>
      <w:r>
        <w:instrText xml:space="preserve">PAGEREF _Toc190875432 \h</w:instrText>
      </w:r>
      <w:r>
        <w:rPr>
          <w:rFonts w:hint="eastAsia"/>
        </w:rPr>
        <w:instrText xml:space="preserve"> </w:instrText>
      </w:r>
      <w:r>
        <w:rPr>
          <w:rFonts w:hint="eastAsia"/>
        </w:rPr>
        <w:fldChar w:fldCharType="separate"/>
      </w:r>
      <w:r>
        <w:rPr>
          <w:rFonts w:hint="eastAsia"/>
        </w:rPr>
        <w:t>26</w:t>
      </w:r>
      <w:r>
        <w:rPr>
          <w:rFonts w:hint="eastAsia"/>
        </w:rPr>
        <w:fldChar w:fldCharType="end"/>
      </w:r>
      <w:r>
        <w:rPr>
          <w:rFonts w:hint="eastAsia"/>
        </w:rPr>
        <w:fldChar w:fldCharType="end"/>
      </w:r>
    </w:p>
    <w:p w14:paraId="396E328E">
      <w:pPr>
        <w:pStyle w:val="19"/>
        <w:tabs>
          <w:tab w:val="right" w:leader="dot" w:pos="8296"/>
        </w:tabs>
        <w:rPr>
          <w:rFonts w:hint="eastAsia" w:cstheme="minorBidi"/>
          <w:kern w:val="2"/>
          <w:szCs w:val="24"/>
          <w14:ligatures w14:val="standardContextual"/>
        </w:rPr>
      </w:pPr>
      <w:r>
        <w:fldChar w:fldCharType="begin"/>
      </w:r>
      <w:r>
        <w:instrText xml:space="preserve"> HYPERLINK \l "_Toc190875433" </w:instrText>
      </w:r>
      <w:r>
        <w:fldChar w:fldCharType="separate"/>
      </w:r>
      <w:r>
        <w:rPr>
          <w:rStyle w:val="24"/>
          <w:rFonts w:hint="eastAsia"/>
          <w:b/>
          <w:bCs/>
        </w:rPr>
        <w:t>6.5 信息技术咨询</w:t>
      </w:r>
      <w:r>
        <w:rPr>
          <w:rFonts w:hint="eastAsia"/>
        </w:rPr>
        <w:tab/>
      </w:r>
      <w:r>
        <w:rPr>
          <w:rFonts w:hint="eastAsia"/>
        </w:rPr>
        <w:fldChar w:fldCharType="begin"/>
      </w:r>
      <w:r>
        <w:rPr>
          <w:rFonts w:hint="eastAsia"/>
        </w:rPr>
        <w:instrText xml:space="preserve"> </w:instrText>
      </w:r>
      <w:r>
        <w:instrText xml:space="preserve">PAGEREF _Toc190875433 \h</w:instrText>
      </w:r>
      <w:r>
        <w:rPr>
          <w:rFonts w:hint="eastAsia"/>
        </w:rPr>
        <w:instrText xml:space="preserve"> </w:instrText>
      </w:r>
      <w:r>
        <w:rPr>
          <w:rFonts w:hint="eastAsia"/>
        </w:rPr>
        <w:fldChar w:fldCharType="separate"/>
      </w:r>
      <w:r>
        <w:rPr>
          <w:rFonts w:hint="eastAsia"/>
        </w:rPr>
        <w:t>27</w:t>
      </w:r>
      <w:r>
        <w:rPr>
          <w:rFonts w:hint="eastAsia"/>
        </w:rPr>
        <w:fldChar w:fldCharType="end"/>
      </w:r>
      <w:r>
        <w:rPr>
          <w:rFonts w:hint="eastAsia"/>
        </w:rPr>
        <w:fldChar w:fldCharType="end"/>
      </w:r>
    </w:p>
    <w:p w14:paraId="539650BE">
      <w:pPr>
        <w:pStyle w:val="19"/>
        <w:tabs>
          <w:tab w:val="right" w:leader="dot" w:pos="8296"/>
        </w:tabs>
        <w:rPr>
          <w:rFonts w:hint="eastAsia" w:cstheme="minorBidi"/>
          <w:kern w:val="2"/>
          <w:szCs w:val="24"/>
          <w14:ligatures w14:val="standardContextual"/>
        </w:rPr>
      </w:pPr>
      <w:r>
        <w:fldChar w:fldCharType="begin"/>
      </w:r>
      <w:r>
        <w:instrText xml:space="preserve"> HYPERLINK \l "_Toc190875434" </w:instrText>
      </w:r>
      <w:r>
        <w:fldChar w:fldCharType="separate"/>
      </w:r>
      <w:r>
        <w:rPr>
          <w:rStyle w:val="24"/>
          <w:rFonts w:hint="eastAsia"/>
          <w:b/>
          <w:bCs/>
        </w:rPr>
        <w:t>6.6 工程保险咨询</w:t>
      </w:r>
      <w:r>
        <w:rPr>
          <w:rFonts w:hint="eastAsia"/>
        </w:rPr>
        <w:tab/>
      </w:r>
      <w:r>
        <w:rPr>
          <w:rFonts w:hint="eastAsia"/>
        </w:rPr>
        <w:fldChar w:fldCharType="begin"/>
      </w:r>
      <w:r>
        <w:rPr>
          <w:rFonts w:hint="eastAsia"/>
        </w:rPr>
        <w:instrText xml:space="preserve"> </w:instrText>
      </w:r>
      <w:r>
        <w:instrText xml:space="preserve">PAGEREF _Toc190875434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48A47D16">
      <w:pPr>
        <w:pStyle w:val="19"/>
        <w:tabs>
          <w:tab w:val="right" w:leader="dot" w:pos="8296"/>
        </w:tabs>
        <w:rPr>
          <w:rFonts w:hint="eastAsia" w:cstheme="minorBidi"/>
          <w:kern w:val="2"/>
          <w:szCs w:val="24"/>
          <w14:ligatures w14:val="standardContextual"/>
        </w:rPr>
      </w:pPr>
      <w:r>
        <w:fldChar w:fldCharType="begin"/>
      </w:r>
      <w:r>
        <w:instrText xml:space="preserve"> HYPERLINK \l "_Toc190875435" </w:instrText>
      </w:r>
      <w:r>
        <w:fldChar w:fldCharType="separate"/>
      </w:r>
      <w:r>
        <w:rPr>
          <w:rStyle w:val="24"/>
          <w:rFonts w:hint="eastAsia"/>
          <w:b/>
          <w:bCs/>
        </w:rPr>
        <w:t>6.7 ESG咨询</w:t>
      </w:r>
      <w:r>
        <w:rPr>
          <w:rFonts w:hint="eastAsia"/>
        </w:rPr>
        <w:tab/>
      </w:r>
      <w:r>
        <w:rPr>
          <w:rFonts w:hint="eastAsia"/>
        </w:rPr>
        <w:fldChar w:fldCharType="begin"/>
      </w:r>
      <w:r>
        <w:rPr>
          <w:rFonts w:hint="eastAsia"/>
        </w:rPr>
        <w:instrText xml:space="preserve"> </w:instrText>
      </w:r>
      <w:r>
        <w:instrText xml:space="preserve">PAGEREF _Toc190875435 \h</w:instrText>
      </w:r>
      <w:r>
        <w:rPr>
          <w:rFonts w:hint="eastAsia"/>
        </w:rPr>
        <w:instrText xml:space="preserve"> </w:instrText>
      </w:r>
      <w:r>
        <w:rPr>
          <w:rFonts w:hint="eastAsia"/>
        </w:rPr>
        <w:fldChar w:fldCharType="separate"/>
      </w:r>
      <w:r>
        <w:rPr>
          <w:rFonts w:hint="eastAsia"/>
        </w:rPr>
        <w:t>28</w:t>
      </w:r>
      <w:r>
        <w:rPr>
          <w:rFonts w:hint="eastAsia"/>
        </w:rPr>
        <w:fldChar w:fldCharType="end"/>
      </w:r>
      <w:r>
        <w:rPr>
          <w:rFonts w:hint="eastAsia"/>
        </w:rPr>
        <w:fldChar w:fldCharType="end"/>
      </w:r>
    </w:p>
    <w:p w14:paraId="695F9CB1">
      <w:pPr>
        <w:pStyle w:val="17"/>
        <w:tabs>
          <w:tab w:val="right" w:leader="dot" w:pos="8296"/>
        </w:tabs>
        <w:rPr>
          <w:rFonts w:hint="eastAsia" w:cstheme="minorBidi"/>
          <w:kern w:val="2"/>
          <w:szCs w:val="24"/>
          <w14:ligatures w14:val="standardContextual"/>
        </w:rPr>
      </w:pPr>
      <w:r>
        <w:fldChar w:fldCharType="begin"/>
      </w:r>
      <w:r>
        <w:instrText xml:space="preserve"> HYPERLINK \l "_Toc190875436" </w:instrText>
      </w:r>
      <w:r>
        <w:fldChar w:fldCharType="separate"/>
      </w:r>
      <w:r>
        <w:rPr>
          <w:rStyle w:val="24"/>
          <w:rFonts w:hint="eastAsia"/>
          <w:b/>
          <w:bCs/>
        </w:rPr>
        <w:t>附录1 全过程工程咨询服务清单</w:t>
      </w:r>
      <w:r>
        <w:rPr>
          <w:rFonts w:hint="eastAsia"/>
        </w:rPr>
        <w:tab/>
      </w:r>
      <w:r>
        <w:rPr>
          <w:rFonts w:hint="eastAsia"/>
        </w:rPr>
        <w:fldChar w:fldCharType="begin"/>
      </w:r>
      <w:r>
        <w:rPr>
          <w:rFonts w:hint="eastAsia"/>
        </w:rPr>
        <w:instrText xml:space="preserve"> </w:instrText>
      </w:r>
      <w:r>
        <w:instrText xml:space="preserve">PAGEREF _Toc190875436 \h</w:instrText>
      </w:r>
      <w:r>
        <w:rPr>
          <w:rFonts w:hint="eastAsia"/>
        </w:rPr>
        <w:instrText xml:space="preserve"> </w:instrText>
      </w:r>
      <w:r>
        <w:rPr>
          <w:rFonts w:hint="eastAsia"/>
        </w:rPr>
        <w:fldChar w:fldCharType="separate"/>
      </w:r>
      <w:r>
        <w:rPr>
          <w:rFonts w:hint="eastAsia"/>
        </w:rPr>
        <w:t>30</w:t>
      </w:r>
      <w:r>
        <w:rPr>
          <w:rFonts w:hint="eastAsia"/>
        </w:rPr>
        <w:fldChar w:fldCharType="end"/>
      </w:r>
      <w:r>
        <w:rPr>
          <w:rFonts w:hint="eastAsia"/>
        </w:rPr>
        <w:fldChar w:fldCharType="end"/>
      </w:r>
    </w:p>
    <w:p w14:paraId="140B1B21">
      <w:pPr>
        <w:pStyle w:val="17"/>
        <w:tabs>
          <w:tab w:val="right" w:leader="dot" w:pos="8296"/>
        </w:tabs>
        <w:rPr>
          <w:rFonts w:hint="eastAsia" w:cstheme="minorBidi"/>
          <w:kern w:val="2"/>
          <w:szCs w:val="24"/>
          <w14:ligatures w14:val="standardContextual"/>
        </w:rPr>
      </w:pPr>
      <w:r>
        <w:fldChar w:fldCharType="begin"/>
      </w:r>
      <w:r>
        <w:instrText xml:space="preserve"> HYPERLINK \l "_Toc190875437" </w:instrText>
      </w:r>
      <w:r>
        <w:fldChar w:fldCharType="separate"/>
      </w:r>
      <w:r>
        <w:rPr>
          <w:rStyle w:val="24"/>
          <w:rFonts w:hint="eastAsia"/>
          <w:b/>
          <w:bCs/>
        </w:rPr>
        <w:t>条文说明</w:t>
      </w:r>
      <w:r>
        <w:rPr>
          <w:rFonts w:hint="eastAsia"/>
        </w:rPr>
        <w:tab/>
      </w:r>
      <w:r>
        <w:rPr>
          <w:rFonts w:hint="eastAsia"/>
        </w:rPr>
        <w:fldChar w:fldCharType="begin"/>
      </w:r>
      <w:r>
        <w:rPr>
          <w:rFonts w:hint="eastAsia"/>
        </w:rPr>
        <w:instrText xml:space="preserve"> </w:instrText>
      </w:r>
      <w:r>
        <w:instrText xml:space="preserve">PAGEREF _Toc190875437 \h</w:instrText>
      </w:r>
      <w:r>
        <w:rPr>
          <w:rFonts w:hint="eastAsia"/>
        </w:rPr>
        <w:instrText xml:space="preserve"> </w:instrText>
      </w:r>
      <w:r>
        <w:rPr>
          <w:rFonts w:hint="eastAsia"/>
        </w:rPr>
        <w:fldChar w:fldCharType="separate"/>
      </w:r>
      <w:r>
        <w:rPr>
          <w:rFonts w:hint="eastAsia"/>
        </w:rPr>
        <w:t>35</w:t>
      </w:r>
      <w:r>
        <w:rPr>
          <w:rFonts w:hint="eastAsia"/>
        </w:rPr>
        <w:fldChar w:fldCharType="end"/>
      </w:r>
      <w:r>
        <w:rPr>
          <w:rFonts w:hint="eastAsia"/>
        </w:rPr>
        <w:fldChar w:fldCharType="end"/>
      </w:r>
    </w:p>
    <w:p w14:paraId="091C78E3">
      <w:pPr>
        <w:pStyle w:val="17"/>
        <w:tabs>
          <w:tab w:val="right" w:leader="dot" w:pos="8296"/>
        </w:tabs>
        <w:rPr>
          <w:rFonts w:hint="eastAsia" w:cstheme="minorBidi"/>
          <w:kern w:val="2"/>
          <w:szCs w:val="24"/>
          <w14:ligatures w14:val="standardContextual"/>
        </w:rPr>
      </w:pPr>
      <w:r>
        <w:fldChar w:fldCharType="begin"/>
      </w:r>
      <w:r>
        <w:instrText xml:space="preserve"> HYPERLINK \l "_Toc190875438" </w:instrText>
      </w:r>
      <w:r>
        <w:fldChar w:fldCharType="separate"/>
      </w:r>
      <w:r>
        <w:rPr>
          <w:rStyle w:val="24"/>
          <w:rFonts w:hint="eastAsia"/>
          <w:b/>
          <w:bCs/>
        </w:rPr>
        <w:t>1 总则</w:t>
      </w:r>
      <w:r>
        <w:rPr>
          <w:rFonts w:hint="eastAsia"/>
        </w:rPr>
        <w:tab/>
      </w:r>
      <w:r>
        <w:rPr>
          <w:rFonts w:hint="eastAsia"/>
        </w:rPr>
        <w:fldChar w:fldCharType="begin"/>
      </w:r>
      <w:r>
        <w:rPr>
          <w:rFonts w:hint="eastAsia"/>
        </w:rPr>
        <w:instrText xml:space="preserve"> </w:instrText>
      </w:r>
      <w:r>
        <w:instrText xml:space="preserve">PAGEREF _Toc190875438 \h</w:instrText>
      </w:r>
      <w:r>
        <w:rPr>
          <w:rFonts w:hint="eastAsia"/>
        </w:rPr>
        <w:instrText xml:space="preserve"> </w:instrText>
      </w:r>
      <w:r>
        <w:rPr>
          <w:rFonts w:hint="eastAsia"/>
        </w:rPr>
        <w:fldChar w:fldCharType="separate"/>
      </w:r>
      <w:r>
        <w:rPr>
          <w:rFonts w:hint="eastAsia"/>
        </w:rPr>
        <w:t>36</w:t>
      </w:r>
      <w:r>
        <w:rPr>
          <w:rFonts w:hint="eastAsia"/>
        </w:rPr>
        <w:fldChar w:fldCharType="end"/>
      </w:r>
      <w:r>
        <w:rPr>
          <w:rFonts w:hint="eastAsia"/>
        </w:rPr>
        <w:fldChar w:fldCharType="end"/>
      </w:r>
    </w:p>
    <w:p w14:paraId="24566346">
      <w:pPr>
        <w:pStyle w:val="17"/>
        <w:tabs>
          <w:tab w:val="right" w:leader="dot" w:pos="8296"/>
        </w:tabs>
        <w:rPr>
          <w:rFonts w:hint="eastAsia" w:cstheme="minorBidi"/>
          <w:kern w:val="2"/>
          <w:szCs w:val="24"/>
          <w14:ligatures w14:val="standardContextual"/>
        </w:rPr>
      </w:pPr>
      <w:r>
        <w:fldChar w:fldCharType="begin"/>
      </w:r>
      <w:r>
        <w:instrText xml:space="preserve"> HYPERLINK \l "_Toc190875439" </w:instrText>
      </w:r>
      <w:r>
        <w:fldChar w:fldCharType="separate"/>
      </w:r>
      <w:r>
        <w:rPr>
          <w:rStyle w:val="24"/>
          <w:rFonts w:hint="eastAsia"/>
          <w:b/>
          <w:bCs/>
        </w:rPr>
        <w:t>2 术语</w:t>
      </w:r>
      <w:r>
        <w:rPr>
          <w:rFonts w:hint="eastAsia"/>
        </w:rPr>
        <w:tab/>
      </w:r>
      <w:r>
        <w:rPr>
          <w:rFonts w:hint="eastAsia"/>
        </w:rPr>
        <w:fldChar w:fldCharType="begin"/>
      </w:r>
      <w:r>
        <w:rPr>
          <w:rFonts w:hint="eastAsia"/>
        </w:rPr>
        <w:instrText xml:space="preserve"> </w:instrText>
      </w:r>
      <w:r>
        <w:instrText xml:space="preserve">PAGEREF _Toc190875439 \h</w:instrText>
      </w:r>
      <w:r>
        <w:rPr>
          <w:rFonts w:hint="eastAsia"/>
        </w:rPr>
        <w:instrText xml:space="preserve"> </w:instrText>
      </w:r>
      <w:r>
        <w:rPr>
          <w:rFonts w:hint="eastAsia"/>
        </w:rPr>
        <w:fldChar w:fldCharType="separate"/>
      </w:r>
      <w:r>
        <w:rPr>
          <w:rFonts w:hint="eastAsia"/>
        </w:rPr>
        <w:t>37</w:t>
      </w:r>
      <w:r>
        <w:rPr>
          <w:rFonts w:hint="eastAsia"/>
        </w:rPr>
        <w:fldChar w:fldCharType="end"/>
      </w:r>
      <w:r>
        <w:rPr>
          <w:rFonts w:hint="eastAsia"/>
        </w:rPr>
        <w:fldChar w:fldCharType="end"/>
      </w:r>
    </w:p>
    <w:p w14:paraId="212B40DC">
      <w:pPr>
        <w:pStyle w:val="17"/>
        <w:tabs>
          <w:tab w:val="right" w:leader="dot" w:pos="8296"/>
        </w:tabs>
        <w:rPr>
          <w:rFonts w:hint="eastAsia" w:cstheme="minorBidi"/>
          <w:kern w:val="2"/>
          <w:szCs w:val="24"/>
          <w14:ligatures w14:val="standardContextual"/>
        </w:rPr>
      </w:pPr>
      <w:r>
        <w:fldChar w:fldCharType="begin"/>
      </w:r>
      <w:r>
        <w:instrText xml:space="preserve"> HYPERLINK \l "_Toc190875440" </w:instrText>
      </w:r>
      <w:r>
        <w:fldChar w:fldCharType="separate"/>
      </w:r>
      <w:r>
        <w:rPr>
          <w:rStyle w:val="24"/>
          <w:rFonts w:hint="eastAsia"/>
          <w:b/>
          <w:bCs/>
        </w:rPr>
        <w:t>3 基本规定</w:t>
      </w:r>
      <w:r>
        <w:rPr>
          <w:rFonts w:hint="eastAsia"/>
        </w:rPr>
        <w:tab/>
      </w:r>
      <w:r>
        <w:rPr>
          <w:rFonts w:hint="eastAsia"/>
        </w:rPr>
        <w:fldChar w:fldCharType="begin"/>
      </w:r>
      <w:r>
        <w:rPr>
          <w:rFonts w:hint="eastAsia"/>
        </w:rPr>
        <w:instrText xml:space="preserve"> </w:instrText>
      </w:r>
      <w:r>
        <w:instrText xml:space="preserve">PAGEREF _Toc190875440 \h</w:instrText>
      </w:r>
      <w:r>
        <w:rPr>
          <w:rFonts w:hint="eastAsia"/>
        </w:rPr>
        <w:instrText xml:space="preserve"> </w:instrText>
      </w:r>
      <w:r>
        <w:rPr>
          <w:rFonts w:hint="eastAsia"/>
        </w:rPr>
        <w:fldChar w:fldCharType="separate"/>
      </w:r>
      <w:r>
        <w:rPr>
          <w:rFonts w:hint="eastAsia"/>
        </w:rPr>
        <w:t>38</w:t>
      </w:r>
      <w:r>
        <w:rPr>
          <w:rFonts w:hint="eastAsia"/>
        </w:rPr>
        <w:fldChar w:fldCharType="end"/>
      </w:r>
      <w:r>
        <w:rPr>
          <w:rFonts w:hint="eastAsia"/>
        </w:rPr>
        <w:fldChar w:fldCharType="end"/>
      </w:r>
    </w:p>
    <w:p w14:paraId="1363F5E4">
      <w:pPr>
        <w:pStyle w:val="19"/>
        <w:tabs>
          <w:tab w:val="right" w:leader="dot" w:pos="8296"/>
        </w:tabs>
        <w:rPr>
          <w:rFonts w:hint="eastAsia" w:cstheme="minorBidi"/>
          <w:kern w:val="2"/>
          <w:szCs w:val="24"/>
          <w14:ligatures w14:val="standardContextual"/>
        </w:rPr>
      </w:pPr>
      <w:r>
        <w:fldChar w:fldCharType="begin"/>
      </w:r>
      <w:r>
        <w:instrText xml:space="preserve"> HYPERLINK \l "_Toc190875441" </w:instrText>
      </w:r>
      <w:r>
        <w:fldChar w:fldCharType="separate"/>
      </w:r>
      <w:r>
        <w:rPr>
          <w:rStyle w:val="24"/>
          <w:rFonts w:hint="eastAsia"/>
          <w:b/>
          <w:bCs/>
        </w:rPr>
        <w:t>3.1 一般规定</w:t>
      </w:r>
      <w:r>
        <w:rPr>
          <w:rFonts w:hint="eastAsia"/>
        </w:rPr>
        <w:tab/>
      </w:r>
      <w:r>
        <w:rPr>
          <w:rFonts w:hint="eastAsia"/>
        </w:rPr>
        <w:fldChar w:fldCharType="begin"/>
      </w:r>
      <w:r>
        <w:rPr>
          <w:rFonts w:hint="eastAsia"/>
        </w:rPr>
        <w:instrText xml:space="preserve"> </w:instrText>
      </w:r>
      <w:r>
        <w:instrText xml:space="preserve">PAGEREF _Toc190875441 \h</w:instrText>
      </w:r>
      <w:r>
        <w:rPr>
          <w:rFonts w:hint="eastAsia"/>
        </w:rPr>
        <w:instrText xml:space="preserve"> </w:instrText>
      </w:r>
      <w:r>
        <w:rPr>
          <w:rFonts w:hint="eastAsia"/>
        </w:rPr>
        <w:fldChar w:fldCharType="separate"/>
      </w:r>
      <w:r>
        <w:rPr>
          <w:rFonts w:hint="eastAsia"/>
        </w:rPr>
        <w:t>38</w:t>
      </w:r>
      <w:r>
        <w:rPr>
          <w:rFonts w:hint="eastAsia"/>
        </w:rPr>
        <w:fldChar w:fldCharType="end"/>
      </w:r>
      <w:r>
        <w:rPr>
          <w:rFonts w:hint="eastAsia"/>
        </w:rPr>
        <w:fldChar w:fldCharType="end"/>
      </w:r>
    </w:p>
    <w:p w14:paraId="7CDCE79E">
      <w:pPr>
        <w:pStyle w:val="19"/>
        <w:tabs>
          <w:tab w:val="right" w:leader="dot" w:pos="8296"/>
        </w:tabs>
        <w:rPr>
          <w:rFonts w:hint="eastAsia" w:cstheme="minorBidi"/>
          <w:kern w:val="2"/>
          <w:szCs w:val="24"/>
          <w14:ligatures w14:val="standardContextual"/>
        </w:rPr>
      </w:pPr>
      <w:r>
        <w:fldChar w:fldCharType="begin"/>
      </w:r>
      <w:r>
        <w:instrText xml:space="preserve"> HYPERLINK \l "_Toc190875442" </w:instrText>
      </w:r>
      <w:r>
        <w:fldChar w:fldCharType="separate"/>
      </w:r>
      <w:r>
        <w:rPr>
          <w:rStyle w:val="24"/>
          <w:rFonts w:hint="eastAsia"/>
          <w:b/>
          <w:bCs/>
        </w:rPr>
        <w:t>3.2 组织模式</w:t>
      </w:r>
      <w:r>
        <w:rPr>
          <w:rFonts w:hint="eastAsia"/>
        </w:rPr>
        <w:tab/>
      </w:r>
      <w:r>
        <w:rPr>
          <w:rFonts w:hint="eastAsia"/>
        </w:rPr>
        <w:fldChar w:fldCharType="begin"/>
      </w:r>
      <w:r>
        <w:rPr>
          <w:rFonts w:hint="eastAsia"/>
        </w:rPr>
        <w:instrText xml:space="preserve"> </w:instrText>
      </w:r>
      <w:r>
        <w:instrText xml:space="preserve">PAGEREF _Toc190875442 \h</w:instrText>
      </w:r>
      <w:r>
        <w:rPr>
          <w:rFonts w:hint="eastAsia"/>
        </w:rPr>
        <w:instrText xml:space="preserve"> </w:instrText>
      </w:r>
      <w:r>
        <w:rPr>
          <w:rFonts w:hint="eastAsia"/>
        </w:rPr>
        <w:fldChar w:fldCharType="separate"/>
      </w:r>
      <w:r>
        <w:rPr>
          <w:rFonts w:hint="eastAsia"/>
        </w:rPr>
        <w:t>39</w:t>
      </w:r>
      <w:r>
        <w:rPr>
          <w:rFonts w:hint="eastAsia"/>
        </w:rPr>
        <w:fldChar w:fldCharType="end"/>
      </w:r>
      <w:r>
        <w:rPr>
          <w:rFonts w:hint="eastAsia"/>
        </w:rPr>
        <w:fldChar w:fldCharType="end"/>
      </w:r>
    </w:p>
    <w:p w14:paraId="41AE96A7">
      <w:pPr>
        <w:pStyle w:val="19"/>
        <w:tabs>
          <w:tab w:val="right" w:leader="dot" w:pos="8296"/>
        </w:tabs>
        <w:rPr>
          <w:rFonts w:hint="eastAsia" w:cstheme="minorBidi"/>
          <w:kern w:val="2"/>
          <w:szCs w:val="24"/>
          <w14:ligatures w14:val="standardContextual"/>
        </w:rPr>
      </w:pPr>
      <w:r>
        <w:fldChar w:fldCharType="begin"/>
      </w:r>
      <w:r>
        <w:instrText xml:space="preserve"> HYPERLINK \l "_Toc190875443" </w:instrText>
      </w:r>
      <w:r>
        <w:fldChar w:fldCharType="separate"/>
      </w:r>
      <w:r>
        <w:rPr>
          <w:rStyle w:val="24"/>
          <w:rFonts w:hint="eastAsia"/>
          <w:b/>
          <w:bCs/>
        </w:rPr>
        <w:t>3.3 人员职责</w:t>
      </w:r>
      <w:r>
        <w:rPr>
          <w:rFonts w:hint="eastAsia"/>
        </w:rPr>
        <w:tab/>
      </w:r>
      <w:r>
        <w:rPr>
          <w:rFonts w:hint="eastAsia"/>
        </w:rPr>
        <w:fldChar w:fldCharType="begin"/>
      </w:r>
      <w:r>
        <w:rPr>
          <w:rFonts w:hint="eastAsia"/>
        </w:rPr>
        <w:instrText xml:space="preserve"> </w:instrText>
      </w:r>
      <w:r>
        <w:instrText xml:space="preserve">PAGEREF _Toc190875443 \h</w:instrText>
      </w:r>
      <w:r>
        <w:rPr>
          <w:rFonts w:hint="eastAsia"/>
        </w:rPr>
        <w:instrText xml:space="preserve"> </w:instrText>
      </w:r>
      <w:r>
        <w:rPr>
          <w:rFonts w:hint="eastAsia"/>
        </w:rPr>
        <w:fldChar w:fldCharType="separate"/>
      </w:r>
      <w:r>
        <w:rPr>
          <w:rFonts w:hint="eastAsia"/>
        </w:rPr>
        <w:t>39</w:t>
      </w:r>
      <w:r>
        <w:rPr>
          <w:rFonts w:hint="eastAsia"/>
        </w:rPr>
        <w:fldChar w:fldCharType="end"/>
      </w:r>
      <w:r>
        <w:rPr>
          <w:rFonts w:hint="eastAsia"/>
        </w:rPr>
        <w:fldChar w:fldCharType="end"/>
      </w:r>
    </w:p>
    <w:p w14:paraId="61D6610E">
      <w:pPr>
        <w:pStyle w:val="17"/>
        <w:tabs>
          <w:tab w:val="right" w:leader="dot" w:pos="8296"/>
        </w:tabs>
        <w:rPr>
          <w:rFonts w:hint="eastAsia" w:cstheme="minorBidi"/>
          <w:kern w:val="2"/>
          <w:szCs w:val="24"/>
          <w14:ligatures w14:val="standardContextual"/>
        </w:rPr>
      </w:pPr>
      <w:r>
        <w:fldChar w:fldCharType="begin"/>
      </w:r>
      <w:r>
        <w:instrText xml:space="preserve"> HYPERLINK \l "_Toc190875444" </w:instrText>
      </w:r>
      <w:r>
        <w:fldChar w:fldCharType="separate"/>
      </w:r>
      <w:r>
        <w:rPr>
          <w:rStyle w:val="24"/>
          <w:rFonts w:hint="eastAsia"/>
          <w:b/>
          <w:bCs/>
        </w:rPr>
        <w:t>4 投资决策综合性咨询</w:t>
      </w:r>
      <w:r>
        <w:rPr>
          <w:rFonts w:hint="eastAsia"/>
        </w:rPr>
        <w:tab/>
      </w:r>
      <w:r>
        <w:rPr>
          <w:rFonts w:hint="eastAsia"/>
        </w:rPr>
        <w:fldChar w:fldCharType="begin"/>
      </w:r>
      <w:r>
        <w:rPr>
          <w:rFonts w:hint="eastAsia"/>
        </w:rPr>
        <w:instrText xml:space="preserve"> </w:instrText>
      </w:r>
      <w:r>
        <w:instrText xml:space="preserve">PAGEREF _Toc190875444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78562E80">
      <w:pPr>
        <w:pStyle w:val="19"/>
        <w:tabs>
          <w:tab w:val="right" w:leader="dot" w:pos="8296"/>
        </w:tabs>
        <w:rPr>
          <w:rFonts w:hint="eastAsia" w:cstheme="minorBidi"/>
          <w:kern w:val="2"/>
          <w:szCs w:val="24"/>
          <w14:ligatures w14:val="standardContextual"/>
        </w:rPr>
      </w:pPr>
      <w:r>
        <w:fldChar w:fldCharType="begin"/>
      </w:r>
      <w:r>
        <w:instrText xml:space="preserve"> HYPERLINK \l "_Toc190875445" </w:instrText>
      </w:r>
      <w:r>
        <w:fldChar w:fldCharType="separate"/>
      </w:r>
      <w:r>
        <w:rPr>
          <w:rStyle w:val="24"/>
          <w:rFonts w:hint="eastAsia"/>
          <w:b/>
          <w:bCs/>
        </w:rPr>
        <w:t>4.1 一般规定</w:t>
      </w:r>
      <w:r>
        <w:rPr>
          <w:rFonts w:hint="eastAsia"/>
        </w:rPr>
        <w:tab/>
      </w:r>
      <w:r>
        <w:rPr>
          <w:rFonts w:hint="eastAsia"/>
        </w:rPr>
        <w:fldChar w:fldCharType="begin"/>
      </w:r>
      <w:r>
        <w:rPr>
          <w:rFonts w:hint="eastAsia"/>
        </w:rPr>
        <w:instrText xml:space="preserve"> </w:instrText>
      </w:r>
      <w:r>
        <w:instrText xml:space="preserve">PAGEREF _Toc190875445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1D42CB3B">
      <w:pPr>
        <w:pStyle w:val="19"/>
        <w:tabs>
          <w:tab w:val="right" w:leader="dot" w:pos="8296"/>
        </w:tabs>
        <w:rPr>
          <w:rFonts w:hint="eastAsia" w:cstheme="minorBidi"/>
          <w:kern w:val="2"/>
          <w:szCs w:val="24"/>
          <w14:ligatures w14:val="standardContextual"/>
        </w:rPr>
      </w:pPr>
      <w:r>
        <w:fldChar w:fldCharType="begin"/>
      </w:r>
      <w:r>
        <w:instrText xml:space="preserve"> HYPERLINK \l "_Toc190875446" </w:instrText>
      </w:r>
      <w:r>
        <w:fldChar w:fldCharType="separate"/>
      </w:r>
      <w:r>
        <w:rPr>
          <w:rStyle w:val="24"/>
          <w:rFonts w:hint="eastAsia"/>
          <w:b/>
          <w:bCs/>
        </w:rPr>
        <w:t>4.2 可行性研究</w:t>
      </w:r>
      <w:r>
        <w:rPr>
          <w:rFonts w:hint="eastAsia"/>
        </w:rPr>
        <w:tab/>
      </w:r>
      <w:r>
        <w:rPr>
          <w:rFonts w:hint="eastAsia"/>
        </w:rPr>
        <w:fldChar w:fldCharType="begin"/>
      </w:r>
      <w:r>
        <w:rPr>
          <w:rFonts w:hint="eastAsia"/>
        </w:rPr>
        <w:instrText xml:space="preserve"> </w:instrText>
      </w:r>
      <w:r>
        <w:instrText xml:space="preserve">PAGEREF _Toc190875446 \h</w:instrText>
      </w:r>
      <w:r>
        <w:rPr>
          <w:rFonts w:hint="eastAsia"/>
        </w:rPr>
        <w:instrText xml:space="preserve"> </w:instrText>
      </w:r>
      <w:r>
        <w:rPr>
          <w:rFonts w:hint="eastAsia"/>
        </w:rPr>
        <w:fldChar w:fldCharType="separate"/>
      </w:r>
      <w:r>
        <w:rPr>
          <w:rFonts w:hint="eastAsia"/>
        </w:rPr>
        <w:t>41</w:t>
      </w:r>
      <w:r>
        <w:rPr>
          <w:rFonts w:hint="eastAsia"/>
        </w:rPr>
        <w:fldChar w:fldCharType="end"/>
      </w:r>
      <w:r>
        <w:rPr>
          <w:rFonts w:hint="eastAsia"/>
        </w:rPr>
        <w:fldChar w:fldCharType="end"/>
      </w:r>
    </w:p>
    <w:p w14:paraId="267B4B1C">
      <w:pPr>
        <w:pStyle w:val="17"/>
        <w:tabs>
          <w:tab w:val="right" w:leader="dot" w:pos="8296"/>
        </w:tabs>
        <w:rPr>
          <w:rFonts w:hint="eastAsia" w:cstheme="minorBidi"/>
          <w:kern w:val="2"/>
          <w:szCs w:val="24"/>
          <w14:ligatures w14:val="standardContextual"/>
        </w:rPr>
      </w:pPr>
      <w:r>
        <w:fldChar w:fldCharType="begin"/>
      </w:r>
      <w:r>
        <w:instrText xml:space="preserve"> HYPERLINK \l "_Toc190875447" </w:instrText>
      </w:r>
      <w:r>
        <w:fldChar w:fldCharType="separate"/>
      </w:r>
      <w:r>
        <w:rPr>
          <w:rStyle w:val="24"/>
          <w:rFonts w:hint="eastAsia"/>
          <w:b/>
          <w:bCs/>
        </w:rPr>
        <w:t>5 工程建设全过程咨询</w:t>
      </w:r>
      <w:r>
        <w:rPr>
          <w:rFonts w:hint="eastAsia"/>
        </w:rPr>
        <w:tab/>
      </w:r>
      <w:r>
        <w:rPr>
          <w:rFonts w:hint="eastAsia"/>
        </w:rPr>
        <w:fldChar w:fldCharType="begin"/>
      </w:r>
      <w:r>
        <w:rPr>
          <w:rFonts w:hint="eastAsia"/>
        </w:rPr>
        <w:instrText xml:space="preserve"> </w:instrText>
      </w:r>
      <w:r>
        <w:instrText xml:space="preserve">PAGEREF _Toc190875447 \h</w:instrText>
      </w:r>
      <w:r>
        <w:rPr>
          <w:rFonts w:hint="eastAsia"/>
        </w:rPr>
        <w:instrText xml:space="preserve"> </w:instrText>
      </w:r>
      <w:r>
        <w:rPr>
          <w:rFonts w:hint="eastAsia"/>
        </w:rPr>
        <w:fldChar w:fldCharType="separate"/>
      </w:r>
      <w:r>
        <w:rPr>
          <w:rFonts w:hint="eastAsia"/>
        </w:rPr>
        <w:t>43</w:t>
      </w:r>
      <w:r>
        <w:rPr>
          <w:rFonts w:hint="eastAsia"/>
        </w:rPr>
        <w:fldChar w:fldCharType="end"/>
      </w:r>
      <w:r>
        <w:rPr>
          <w:rFonts w:hint="eastAsia"/>
        </w:rPr>
        <w:fldChar w:fldCharType="end"/>
      </w:r>
    </w:p>
    <w:p w14:paraId="62FD3F3F">
      <w:pPr>
        <w:pStyle w:val="19"/>
        <w:tabs>
          <w:tab w:val="right" w:leader="dot" w:pos="8296"/>
        </w:tabs>
        <w:rPr>
          <w:rFonts w:hint="eastAsia" w:cstheme="minorBidi"/>
          <w:kern w:val="2"/>
          <w:szCs w:val="24"/>
          <w14:ligatures w14:val="standardContextual"/>
        </w:rPr>
      </w:pPr>
      <w:r>
        <w:fldChar w:fldCharType="begin"/>
      </w:r>
      <w:r>
        <w:instrText xml:space="preserve"> HYPERLINK \l "_Toc190875448" </w:instrText>
      </w:r>
      <w:r>
        <w:fldChar w:fldCharType="separate"/>
      </w:r>
      <w:r>
        <w:rPr>
          <w:rStyle w:val="24"/>
          <w:rFonts w:hint="eastAsia"/>
          <w:b/>
          <w:bCs/>
        </w:rPr>
        <w:t>5.3 工程勘察设计管理</w:t>
      </w:r>
      <w:r>
        <w:rPr>
          <w:rFonts w:hint="eastAsia"/>
        </w:rPr>
        <w:tab/>
      </w:r>
      <w:r>
        <w:rPr>
          <w:rFonts w:hint="eastAsia"/>
        </w:rPr>
        <w:fldChar w:fldCharType="begin"/>
      </w:r>
      <w:r>
        <w:rPr>
          <w:rFonts w:hint="eastAsia"/>
        </w:rPr>
        <w:instrText xml:space="preserve"> </w:instrText>
      </w:r>
      <w:r>
        <w:instrText xml:space="preserve">PAGEREF _Toc190875448 \h</w:instrText>
      </w:r>
      <w:r>
        <w:rPr>
          <w:rFonts w:hint="eastAsia"/>
        </w:rPr>
        <w:instrText xml:space="preserve"> </w:instrText>
      </w:r>
      <w:r>
        <w:rPr>
          <w:rFonts w:hint="eastAsia"/>
        </w:rPr>
        <w:fldChar w:fldCharType="separate"/>
      </w:r>
      <w:r>
        <w:rPr>
          <w:rFonts w:hint="eastAsia"/>
        </w:rPr>
        <w:t>43</w:t>
      </w:r>
      <w:r>
        <w:rPr>
          <w:rFonts w:hint="eastAsia"/>
        </w:rPr>
        <w:fldChar w:fldCharType="end"/>
      </w:r>
      <w:r>
        <w:rPr>
          <w:rFonts w:hint="eastAsia"/>
        </w:rPr>
        <w:fldChar w:fldCharType="end"/>
      </w:r>
    </w:p>
    <w:p w14:paraId="28703811">
      <w:pPr>
        <w:pStyle w:val="19"/>
        <w:tabs>
          <w:tab w:val="right" w:leader="dot" w:pos="8296"/>
        </w:tabs>
        <w:rPr>
          <w:rFonts w:hint="eastAsia" w:cstheme="minorBidi"/>
          <w:kern w:val="2"/>
          <w:szCs w:val="24"/>
          <w14:ligatures w14:val="standardContextual"/>
        </w:rPr>
      </w:pPr>
      <w:r>
        <w:fldChar w:fldCharType="begin"/>
      </w:r>
      <w:r>
        <w:instrText xml:space="preserve"> HYPERLINK \l "_Toc190875449" </w:instrText>
      </w:r>
      <w:r>
        <w:fldChar w:fldCharType="separate"/>
      </w:r>
      <w:r>
        <w:rPr>
          <w:rStyle w:val="24"/>
          <w:rFonts w:hint="eastAsia"/>
          <w:b/>
          <w:bCs/>
        </w:rPr>
        <w:t>5.4 工程采购咨询</w:t>
      </w:r>
      <w:r>
        <w:rPr>
          <w:rFonts w:hint="eastAsia"/>
        </w:rPr>
        <w:tab/>
      </w:r>
      <w:r>
        <w:rPr>
          <w:rFonts w:hint="eastAsia"/>
        </w:rPr>
        <w:fldChar w:fldCharType="begin"/>
      </w:r>
      <w:r>
        <w:rPr>
          <w:rFonts w:hint="eastAsia"/>
        </w:rPr>
        <w:instrText xml:space="preserve"> </w:instrText>
      </w:r>
      <w:r>
        <w:instrText xml:space="preserve">PAGEREF _Toc190875449 \h</w:instrText>
      </w:r>
      <w:r>
        <w:rPr>
          <w:rFonts w:hint="eastAsia"/>
        </w:rPr>
        <w:instrText xml:space="preserve"> </w:instrText>
      </w:r>
      <w:r>
        <w:rPr>
          <w:rFonts w:hint="eastAsia"/>
        </w:rPr>
        <w:fldChar w:fldCharType="separate"/>
      </w:r>
      <w:r>
        <w:rPr>
          <w:rFonts w:hint="eastAsia"/>
        </w:rPr>
        <w:t>44</w:t>
      </w:r>
      <w:r>
        <w:rPr>
          <w:rFonts w:hint="eastAsia"/>
        </w:rPr>
        <w:fldChar w:fldCharType="end"/>
      </w:r>
      <w:r>
        <w:rPr>
          <w:rFonts w:hint="eastAsia"/>
        </w:rPr>
        <w:fldChar w:fldCharType="end"/>
      </w:r>
    </w:p>
    <w:p w14:paraId="7423B864">
      <w:pPr>
        <w:pStyle w:val="19"/>
        <w:tabs>
          <w:tab w:val="right" w:leader="dot" w:pos="8296"/>
        </w:tabs>
        <w:rPr>
          <w:rFonts w:hint="eastAsia" w:cstheme="minorBidi"/>
          <w:kern w:val="2"/>
          <w:szCs w:val="24"/>
          <w14:ligatures w14:val="standardContextual"/>
        </w:rPr>
      </w:pPr>
      <w:r>
        <w:fldChar w:fldCharType="begin"/>
      </w:r>
      <w:r>
        <w:instrText xml:space="preserve"> HYPERLINK \l "_Toc190875450" </w:instrText>
      </w:r>
      <w:r>
        <w:fldChar w:fldCharType="separate"/>
      </w:r>
      <w:r>
        <w:rPr>
          <w:rStyle w:val="24"/>
          <w:rFonts w:hint="eastAsia"/>
          <w:b/>
          <w:bCs/>
        </w:rPr>
        <w:t>5.5 工程监理</w:t>
      </w:r>
      <w:r>
        <w:rPr>
          <w:rFonts w:hint="eastAsia"/>
        </w:rPr>
        <w:tab/>
      </w:r>
      <w:r>
        <w:rPr>
          <w:rFonts w:hint="eastAsia"/>
        </w:rPr>
        <w:fldChar w:fldCharType="begin"/>
      </w:r>
      <w:r>
        <w:rPr>
          <w:rFonts w:hint="eastAsia"/>
        </w:rPr>
        <w:instrText xml:space="preserve"> </w:instrText>
      </w:r>
      <w:r>
        <w:instrText xml:space="preserve">PAGEREF _Toc190875450 \h</w:instrText>
      </w:r>
      <w:r>
        <w:rPr>
          <w:rFonts w:hint="eastAsia"/>
        </w:rPr>
        <w:instrText xml:space="preserve"> </w:instrText>
      </w:r>
      <w:r>
        <w:rPr>
          <w:rFonts w:hint="eastAsia"/>
        </w:rPr>
        <w:fldChar w:fldCharType="separate"/>
      </w:r>
      <w:r>
        <w:rPr>
          <w:rFonts w:hint="eastAsia"/>
        </w:rPr>
        <w:t>44</w:t>
      </w:r>
      <w:r>
        <w:rPr>
          <w:rFonts w:hint="eastAsia"/>
        </w:rPr>
        <w:fldChar w:fldCharType="end"/>
      </w:r>
      <w:r>
        <w:rPr>
          <w:rFonts w:hint="eastAsia"/>
        </w:rPr>
        <w:fldChar w:fldCharType="end"/>
      </w:r>
    </w:p>
    <w:p w14:paraId="1965DAD4">
      <w:pPr>
        <w:pStyle w:val="17"/>
        <w:tabs>
          <w:tab w:val="right" w:leader="dot" w:pos="8296"/>
        </w:tabs>
        <w:rPr>
          <w:rFonts w:hint="eastAsia" w:cstheme="minorBidi"/>
          <w:kern w:val="2"/>
          <w:szCs w:val="24"/>
          <w14:ligatures w14:val="standardContextual"/>
        </w:rPr>
      </w:pPr>
      <w:r>
        <w:fldChar w:fldCharType="begin"/>
      </w:r>
      <w:r>
        <w:instrText xml:space="preserve"> HYPERLINK \l "_Toc190875451" </w:instrText>
      </w:r>
      <w:r>
        <w:fldChar w:fldCharType="separate"/>
      </w:r>
      <w:r>
        <w:rPr>
          <w:rStyle w:val="24"/>
          <w:rFonts w:hint="eastAsia"/>
          <w:b/>
          <w:bCs/>
        </w:rPr>
        <w:t>6 专项咨询</w:t>
      </w:r>
      <w:r>
        <w:rPr>
          <w:rFonts w:hint="eastAsia"/>
        </w:rPr>
        <w:tab/>
      </w:r>
      <w:r>
        <w:rPr>
          <w:rFonts w:hint="eastAsia"/>
        </w:rPr>
        <w:fldChar w:fldCharType="begin"/>
      </w:r>
      <w:r>
        <w:rPr>
          <w:rFonts w:hint="eastAsia"/>
        </w:rPr>
        <w:instrText xml:space="preserve"> </w:instrText>
      </w:r>
      <w:r>
        <w:instrText xml:space="preserve">PAGEREF _Toc190875451 \h</w:instrText>
      </w:r>
      <w:r>
        <w:rPr>
          <w:rFonts w:hint="eastAsia"/>
        </w:rPr>
        <w:instrText xml:space="preserve"> </w:instrText>
      </w:r>
      <w:r>
        <w:rPr>
          <w:rFonts w:hint="eastAsia"/>
        </w:rPr>
        <w:fldChar w:fldCharType="separate"/>
      </w:r>
      <w:r>
        <w:rPr>
          <w:rFonts w:hint="eastAsia"/>
        </w:rPr>
        <w:t>45</w:t>
      </w:r>
      <w:r>
        <w:rPr>
          <w:rFonts w:hint="eastAsia"/>
        </w:rPr>
        <w:fldChar w:fldCharType="end"/>
      </w:r>
      <w:r>
        <w:rPr>
          <w:rFonts w:hint="eastAsia"/>
        </w:rPr>
        <w:fldChar w:fldCharType="end"/>
      </w:r>
    </w:p>
    <w:p w14:paraId="7388AC49">
      <w:pPr>
        <w:pStyle w:val="19"/>
        <w:tabs>
          <w:tab w:val="right" w:leader="dot" w:pos="8296"/>
        </w:tabs>
        <w:rPr>
          <w:rFonts w:hint="eastAsia" w:cstheme="minorBidi"/>
          <w:kern w:val="2"/>
          <w:szCs w:val="24"/>
          <w14:ligatures w14:val="standardContextual"/>
        </w:rPr>
      </w:pPr>
      <w:r>
        <w:fldChar w:fldCharType="begin"/>
      </w:r>
      <w:r>
        <w:instrText xml:space="preserve"> HYPERLINK \l "_Toc190875452" </w:instrText>
      </w:r>
      <w:r>
        <w:fldChar w:fldCharType="separate"/>
      </w:r>
      <w:r>
        <w:rPr>
          <w:rStyle w:val="24"/>
          <w:rFonts w:hint="eastAsia"/>
          <w:b/>
          <w:bCs/>
        </w:rPr>
        <w:t>6.2 项目融资咨询</w:t>
      </w:r>
      <w:r>
        <w:rPr>
          <w:rFonts w:hint="eastAsia"/>
        </w:rPr>
        <w:tab/>
      </w:r>
      <w:r>
        <w:rPr>
          <w:rFonts w:hint="eastAsia"/>
        </w:rPr>
        <w:fldChar w:fldCharType="begin"/>
      </w:r>
      <w:r>
        <w:rPr>
          <w:rFonts w:hint="eastAsia"/>
        </w:rPr>
        <w:instrText xml:space="preserve"> </w:instrText>
      </w:r>
      <w:r>
        <w:instrText xml:space="preserve">PAGEREF _Toc190875452 \h</w:instrText>
      </w:r>
      <w:r>
        <w:rPr>
          <w:rFonts w:hint="eastAsia"/>
        </w:rPr>
        <w:instrText xml:space="preserve"> </w:instrText>
      </w:r>
      <w:r>
        <w:rPr>
          <w:rFonts w:hint="eastAsia"/>
        </w:rPr>
        <w:fldChar w:fldCharType="separate"/>
      </w:r>
      <w:r>
        <w:rPr>
          <w:rFonts w:hint="eastAsia"/>
        </w:rPr>
        <w:t>45</w:t>
      </w:r>
      <w:r>
        <w:rPr>
          <w:rFonts w:hint="eastAsia"/>
        </w:rPr>
        <w:fldChar w:fldCharType="end"/>
      </w:r>
      <w:r>
        <w:rPr>
          <w:rFonts w:hint="eastAsia"/>
        </w:rPr>
        <w:fldChar w:fldCharType="end"/>
      </w:r>
    </w:p>
    <w:p w14:paraId="5D467257">
      <w:pPr>
        <w:pStyle w:val="19"/>
        <w:tabs>
          <w:tab w:val="right" w:leader="dot" w:pos="8296"/>
        </w:tabs>
        <w:rPr>
          <w:rFonts w:hint="eastAsia" w:cstheme="minorBidi"/>
          <w:kern w:val="2"/>
          <w:szCs w:val="24"/>
          <w14:ligatures w14:val="standardContextual"/>
        </w:rPr>
      </w:pPr>
      <w:r>
        <w:fldChar w:fldCharType="begin"/>
      </w:r>
      <w:r>
        <w:instrText xml:space="preserve"> HYPERLINK \l "_Toc190875453" </w:instrText>
      </w:r>
      <w:r>
        <w:fldChar w:fldCharType="separate"/>
      </w:r>
      <w:r>
        <w:rPr>
          <w:rStyle w:val="24"/>
          <w:rFonts w:hint="eastAsia"/>
          <w:b/>
          <w:bCs/>
        </w:rPr>
        <w:t>6.3 工程造价咨询</w:t>
      </w:r>
      <w:r>
        <w:rPr>
          <w:rFonts w:hint="eastAsia"/>
        </w:rPr>
        <w:tab/>
      </w:r>
      <w:r>
        <w:rPr>
          <w:rFonts w:hint="eastAsia"/>
        </w:rPr>
        <w:fldChar w:fldCharType="begin"/>
      </w:r>
      <w:r>
        <w:rPr>
          <w:rFonts w:hint="eastAsia"/>
        </w:rPr>
        <w:instrText xml:space="preserve"> </w:instrText>
      </w:r>
      <w:r>
        <w:instrText xml:space="preserve">PAGEREF _Toc190875453 \h</w:instrText>
      </w:r>
      <w:r>
        <w:rPr>
          <w:rFonts w:hint="eastAsia"/>
        </w:rPr>
        <w:instrText xml:space="preserve"> </w:instrText>
      </w:r>
      <w:r>
        <w:rPr>
          <w:rFonts w:hint="eastAsia"/>
        </w:rPr>
        <w:fldChar w:fldCharType="separate"/>
      </w:r>
      <w:r>
        <w:rPr>
          <w:rFonts w:hint="eastAsia"/>
        </w:rPr>
        <w:t>45</w:t>
      </w:r>
      <w:r>
        <w:rPr>
          <w:rFonts w:hint="eastAsia"/>
        </w:rPr>
        <w:fldChar w:fldCharType="end"/>
      </w:r>
      <w:r>
        <w:rPr>
          <w:rFonts w:hint="eastAsia"/>
        </w:rPr>
        <w:fldChar w:fldCharType="end"/>
      </w:r>
    </w:p>
    <w:p w14:paraId="729D5D54">
      <w:pPr>
        <w:pStyle w:val="19"/>
        <w:tabs>
          <w:tab w:val="right" w:leader="dot" w:pos="8296"/>
        </w:tabs>
        <w:rPr>
          <w:rFonts w:hint="eastAsia" w:cstheme="minorBidi"/>
          <w:kern w:val="2"/>
          <w:szCs w:val="24"/>
          <w14:ligatures w14:val="standardContextual"/>
        </w:rPr>
      </w:pPr>
      <w:r>
        <w:fldChar w:fldCharType="begin"/>
      </w:r>
      <w:r>
        <w:instrText xml:space="preserve"> HYPERLINK \l "_Toc190875454" </w:instrText>
      </w:r>
      <w:r>
        <w:fldChar w:fldCharType="separate"/>
      </w:r>
      <w:r>
        <w:rPr>
          <w:rStyle w:val="24"/>
          <w:rFonts w:hint="eastAsia"/>
          <w:b/>
          <w:bCs/>
        </w:rPr>
        <w:t>6.4 建筑节能与绿色建筑咨询</w:t>
      </w:r>
      <w:r>
        <w:rPr>
          <w:rFonts w:hint="eastAsia"/>
        </w:rPr>
        <w:tab/>
      </w:r>
      <w:r>
        <w:rPr>
          <w:rFonts w:hint="eastAsia"/>
        </w:rPr>
        <w:fldChar w:fldCharType="begin"/>
      </w:r>
      <w:r>
        <w:rPr>
          <w:rFonts w:hint="eastAsia"/>
        </w:rPr>
        <w:instrText xml:space="preserve"> </w:instrText>
      </w:r>
      <w:r>
        <w:instrText xml:space="preserve">PAGEREF _Toc190875454 \h</w:instrText>
      </w:r>
      <w:r>
        <w:rPr>
          <w:rFonts w:hint="eastAsia"/>
        </w:rPr>
        <w:instrText xml:space="preserve"> </w:instrText>
      </w:r>
      <w:r>
        <w:rPr>
          <w:rFonts w:hint="eastAsia"/>
        </w:rPr>
        <w:fldChar w:fldCharType="separate"/>
      </w:r>
      <w:r>
        <w:rPr>
          <w:rFonts w:hint="eastAsia"/>
        </w:rPr>
        <w:t>45</w:t>
      </w:r>
      <w:r>
        <w:rPr>
          <w:rFonts w:hint="eastAsia"/>
        </w:rPr>
        <w:fldChar w:fldCharType="end"/>
      </w:r>
      <w:r>
        <w:rPr>
          <w:rFonts w:hint="eastAsia"/>
        </w:rPr>
        <w:fldChar w:fldCharType="end"/>
      </w:r>
    </w:p>
    <w:p w14:paraId="1A1244AC">
      <w:pPr>
        <w:pStyle w:val="19"/>
        <w:tabs>
          <w:tab w:val="right" w:leader="dot" w:pos="8296"/>
        </w:tabs>
        <w:rPr>
          <w:rFonts w:hint="eastAsia" w:cstheme="minorBidi"/>
          <w:kern w:val="2"/>
          <w:szCs w:val="24"/>
          <w14:ligatures w14:val="standardContextual"/>
        </w:rPr>
      </w:pPr>
      <w:r>
        <w:fldChar w:fldCharType="begin"/>
      </w:r>
      <w:r>
        <w:instrText xml:space="preserve"> HYPERLINK \l "_Toc190875455" </w:instrText>
      </w:r>
      <w:r>
        <w:fldChar w:fldCharType="separate"/>
      </w:r>
      <w:r>
        <w:rPr>
          <w:rStyle w:val="24"/>
          <w:rFonts w:hint="eastAsia"/>
          <w:b/>
          <w:bCs/>
        </w:rPr>
        <w:t>6.5 信息技术咨询</w:t>
      </w:r>
      <w:r>
        <w:rPr>
          <w:rFonts w:hint="eastAsia"/>
        </w:rPr>
        <w:tab/>
      </w:r>
      <w:r>
        <w:rPr>
          <w:rFonts w:hint="eastAsia"/>
        </w:rPr>
        <w:fldChar w:fldCharType="begin"/>
      </w:r>
      <w:r>
        <w:rPr>
          <w:rFonts w:hint="eastAsia"/>
        </w:rPr>
        <w:instrText xml:space="preserve"> </w:instrText>
      </w:r>
      <w:r>
        <w:instrText xml:space="preserve">PAGEREF _Toc190875455 \h</w:instrText>
      </w:r>
      <w:r>
        <w:rPr>
          <w:rFonts w:hint="eastAsia"/>
        </w:rPr>
        <w:instrText xml:space="preserve"> </w:instrText>
      </w:r>
      <w:r>
        <w:rPr>
          <w:rFonts w:hint="eastAsia"/>
        </w:rPr>
        <w:fldChar w:fldCharType="separate"/>
      </w:r>
      <w:r>
        <w:rPr>
          <w:rFonts w:hint="eastAsia"/>
        </w:rPr>
        <w:t>46</w:t>
      </w:r>
      <w:r>
        <w:rPr>
          <w:rFonts w:hint="eastAsia"/>
        </w:rPr>
        <w:fldChar w:fldCharType="end"/>
      </w:r>
      <w:r>
        <w:rPr>
          <w:rFonts w:hint="eastAsia"/>
        </w:rPr>
        <w:fldChar w:fldCharType="end"/>
      </w:r>
    </w:p>
    <w:p w14:paraId="49E1365A">
      <w:pPr>
        <w:pStyle w:val="19"/>
        <w:tabs>
          <w:tab w:val="right" w:leader="dot" w:pos="8296"/>
        </w:tabs>
        <w:rPr>
          <w:rFonts w:hint="eastAsia" w:cstheme="minorBidi"/>
          <w:kern w:val="2"/>
          <w:szCs w:val="24"/>
          <w14:ligatures w14:val="standardContextual"/>
        </w:rPr>
      </w:pPr>
      <w:r>
        <w:fldChar w:fldCharType="begin"/>
      </w:r>
      <w:r>
        <w:instrText xml:space="preserve"> HYPERLINK \l "_Toc190875456" </w:instrText>
      </w:r>
      <w:r>
        <w:fldChar w:fldCharType="separate"/>
      </w:r>
      <w:r>
        <w:rPr>
          <w:rStyle w:val="24"/>
          <w:rFonts w:hint="eastAsia"/>
          <w:b/>
          <w:bCs/>
        </w:rPr>
        <w:t>6.6 工程保险咨询</w:t>
      </w:r>
      <w:r>
        <w:rPr>
          <w:rFonts w:hint="eastAsia"/>
        </w:rPr>
        <w:tab/>
      </w:r>
      <w:r>
        <w:rPr>
          <w:rFonts w:hint="eastAsia"/>
        </w:rPr>
        <w:fldChar w:fldCharType="begin"/>
      </w:r>
      <w:r>
        <w:rPr>
          <w:rFonts w:hint="eastAsia"/>
        </w:rPr>
        <w:instrText xml:space="preserve"> </w:instrText>
      </w:r>
      <w:r>
        <w:instrText xml:space="preserve">PAGEREF _Toc190875456 \h</w:instrText>
      </w:r>
      <w:r>
        <w:rPr>
          <w:rFonts w:hint="eastAsia"/>
        </w:rPr>
        <w:instrText xml:space="preserve"> </w:instrText>
      </w:r>
      <w:r>
        <w:rPr>
          <w:rFonts w:hint="eastAsia"/>
        </w:rPr>
        <w:fldChar w:fldCharType="separate"/>
      </w:r>
      <w:r>
        <w:rPr>
          <w:rFonts w:hint="eastAsia"/>
        </w:rPr>
        <w:t>46</w:t>
      </w:r>
      <w:r>
        <w:rPr>
          <w:rFonts w:hint="eastAsia"/>
        </w:rPr>
        <w:fldChar w:fldCharType="end"/>
      </w:r>
      <w:r>
        <w:rPr>
          <w:rFonts w:hint="eastAsia"/>
        </w:rPr>
        <w:fldChar w:fldCharType="end"/>
      </w:r>
    </w:p>
    <w:p w14:paraId="5FEEF98E">
      <w:pPr>
        <w:pStyle w:val="19"/>
        <w:tabs>
          <w:tab w:val="right" w:leader="dot" w:pos="8296"/>
        </w:tabs>
        <w:rPr>
          <w:rFonts w:hint="eastAsia" w:cstheme="minorBidi"/>
          <w:kern w:val="2"/>
          <w:szCs w:val="24"/>
          <w14:ligatures w14:val="standardContextual"/>
        </w:rPr>
      </w:pPr>
      <w:r>
        <w:fldChar w:fldCharType="begin"/>
      </w:r>
      <w:r>
        <w:instrText xml:space="preserve"> HYPERLINK \l "_Toc190875457" </w:instrText>
      </w:r>
      <w:r>
        <w:fldChar w:fldCharType="separate"/>
      </w:r>
      <w:r>
        <w:rPr>
          <w:rStyle w:val="24"/>
          <w:rFonts w:hint="eastAsia"/>
          <w:b/>
          <w:bCs/>
        </w:rPr>
        <w:t>6.7 ESG咨询</w:t>
      </w:r>
      <w:r>
        <w:rPr>
          <w:rFonts w:hint="eastAsia"/>
        </w:rPr>
        <w:tab/>
      </w:r>
      <w:r>
        <w:rPr>
          <w:rFonts w:hint="eastAsia"/>
        </w:rPr>
        <w:fldChar w:fldCharType="begin"/>
      </w:r>
      <w:r>
        <w:rPr>
          <w:rFonts w:hint="eastAsia"/>
        </w:rPr>
        <w:instrText xml:space="preserve"> </w:instrText>
      </w:r>
      <w:r>
        <w:instrText xml:space="preserve">PAGEREF _Toc190875457 \h</w:instrText>
      </w:r>
      <w:r>
        <w:rPr>
          <w:rFonts w:hint="eastAsia"/>
        </w:rPr>
        <w:instrText xml:space="preserve"> </w:instrText>
      </w:r>
      <w:r>
        <w:rPr>
          <w:rFonts w:hint="eastAsia"/>
        </w:rPr>
        <w:fldChar w:fldCharType="separate"/>
      </w:r>
      <w:r>
        <w:rPr>
          <w:rFonts w:hint="eastAsia"/>
        </w:rPr>
        <w:t>47</w:t>
      </w:r>
      <w:r>
        <w:rPr>
          <w:rFonts w:hint="eastAsia"/>
        </w:rPr>
        <w:fldChar w:fldCharType="end"/>
      </w:r>
      <w:r>
        <w:rPr>
          <w:rFonts w:hint="eastAsia"/>
        </w:rPr>
        <w:fldChar w:fldCharType="end"/>
      </w:r>
    </w:p>
    <w:p w14:paraId="66C0AA7D">
      <w:pPr>
        <w:pStyle w:val="2"/>
        <w:spacing w:line="360" w:lineRule="auto"/>
        <w:rPr>
          <w:rFonts w:hint="eastAsia"/>
          <w:lang w:val="en-US" w:bidi="ar-SA"/>
        </w:rPr>
      </w:pPr>
      <w:r>
        <w:rPr>
          <w:rFonts w:hint="eastAsia"/>
          <w:lang w:val="en-US" w:bidi="ar-SA"/>
        </w:rPr>
        <w:fldChar w:fldCharType="end"/>
      </w:r>
    </w:p>
    <w:p w14:paraId="6D49FF5D">
      <w:pPr>
        <w:adjustRightInd w:val="0"/>
        <w:snapToGrid w:val="0"/>
        <w:spacing w:line="360" w:lineRule="auto"/>
        <w:jc w:val="center"/>
        <w:outlineLvl w:val="0"/>
        <w:rPr>
          <w:b/>
          <w:bCs/>
          <w:sz w:val="28"/>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14:paraId="2CB32308">
      <w:pPr>
        <w:adjustRightInd w:val="0"/>
        <w:snapToGrid w:val="0"/>
        <w:spacing w:line="360" w:lineRule="auto"/>
        <w:jc w:val="center"/>
        <w:outlineLvl w:val="0"/>
        <w:rPr>
          <w:b/>
          <w:bCs/>
          <w:sz w:val="28"/>
          <w:szCs w:val="32"/>
        </w:rPr>
      </w:pPr>
      <w:bookmarkStart w:id="2" w:name="_Toc190875403"/>
      <w:r>
        <w:rPr>
          <w:rFonts w:hint="eastAsia"/>
          <w:b/>
          <w:bCs/>
          <w:sz w:val="28"/>
          <w:szCs w:val="32"/>
        </w:rPr>
        <w:t>前言</w:t>
      </w:r>
      <w:bookmarkEnd w:id="2"/>
    </w:p>
    <w:p w14:paraId="6F53C398">
      <w:pPr>
        <w:adjustRightInd w:val="0"/>
        <w:snapToGrid w:val="0"/>
        <w:spacing w:line="360" w:lineRule="auto"/>
        <w:ind w:firstLine="480" w:firstLineChars="200"/>
        <w:rPr>
          <w:sz w:val="24"/>
          <w:szCs w:val="28"/>
        </w:rPr>
      </w:pPr>
      <w:r>
        <w:rPr>
          <w:rFonts w:hint="eastAsia"/>
          <w:sz w:val="24"/>
          <w:szCs w:val="28"/>
        </w:rPr>
        <w:t>为响应国家关于深化建筑业改革、提升工程咨询服务水平的号召，按照《关于发布</w:t>
      </w:r>
      <w:r>
        <w:rPr>
          <w:sz w:val="24"/>
          <w:szCs w:val="28"/>
        </w:rPr>
        <w:t>&lt;2024</w:t>
      </w:r>
      <w:r>
        <w:rPr>
          <w:rFonts w:hint="eastAsia"/>
          <w:sz w:val="24"/>
          <w:szCs w:val="28"/>
        </w:rPr>
        <w:t>年中国建设监理协会团体标准立项计划</w:t>
      </w:r>
      <w:r>
        <w:rPr>
          <w:sz w:val="24"/>
          <w:szCs w:val="28"/>
        </w:rPr>
        <w:t>&gt;</w:t>
      </w:r>
      <w:r>
        <w:rPr>
          <w:rFonts w:hint="eastAsia"/>
          <w:sz w:val="24"/>
          <w:szCs w:val="28"/>
        </w:rPr>
        <w:t>的通知》（中监协【</w:t>
      </w:r>
      <w:r>
        <w:rPr>
          <w:sz w:val="24"/>
          <w:szCs w:val="28"/>
        </w:rPr>
        <w:t>2024</w:t>
      </w:r>
      <w:r>
        <w:rPr>
          <w:rFonts w:hint="eastAsia"/>
          <w:sz w:val="24"/>
          <w:szCs w:val="28"/>
        </w:rPr>
        <w:t>】</w:t>
      </w:r>
      <w:r>
        <w:rPr>
          <w:sz w:val="24"/>
          <w:szCs w:val="28"/>
        </w:rPr>
        <w:t>31</w:t>
      </w:r>
      <w:r>
        <w:rPr>
          <w:rFonts w:hint="eastAsia"/>
          <w:sz w:val="24"/>
          <w:szCs w:val="28"/>
        </w:rPr>
        <w:t>号）的要求，根据国家发展改革委、住房和城乡建设部《关于推进全过程工程咨询服务发展的指导意见》（发改投资规【</w:t>
      </w:r>
      <w:r>
        <w:rPr>
          <w:sz w:val="24"/>
          <w:szCs w:val="28"/>
        </w:rPr>
        <w:t>2019</w:t>
      </w:r>
      <w:r>
        <w:rPr>
          <w:rFonts w:hint="eastAsia"/>
          <w:sz w:val="24"/>
          <w:szCs w:val="28"/>
        </w:rPr>
        <w:t>】</w:t>
      </w:r>
      <w:r>
        <w:rPr>
          <w:sz w:val="24"/>
          <w:szCs w:val="28"/>
        </w:rPr>
        <w:t>515</w:t>
      </w:r>
      <w:r>
        <w:rPr>
          <w:rFonts w:hint="eastAsia"/>
          <w:sz w:val="24"/>
          <w:szCs w:val="28"/>
        </w:rPr>
        <w:t>号），标准编制组经深入调查研究，认真总结全过程工程咨询实践经验，参考国内外相关标准，并在广泛征求意见的基础上，制定本标准。</w:t>
      </w:r>
    </w:p>
    <w:p w14:paraId="7B838850">
      <w:pPr>
        <w:adjustRightInd w:val="0"/>
        <w:snapToGrid w:val="0"/>
        <w:spacing w:line="360" w:lineRule="auto"/>
        <w:ind w:firstLine="480" w:firstLineChars="200"/>
        <w:rPr>
          <w:sz w:val="24"/>
          <w:szCs w:val="28"/>
        </w:rPr>
      </w:pPr>
      <w:r>
        <w:rPr>
          <w:rFonts w:hint="eastAsia"/>
          <w:sz w:val="24"/>
          <w:szCs w:val="28"/>
        </w:rPr>
        <w:t>本标准共8章和</w:t>
      </w:r>
      <w:r>
        <w:rPr>
          <w:sz w:val="24"/>
          <w:szCs w:val="28"/>
        </w:rPr>
        <w:t>1</w:t>
      </w:r>
      <w:r>
        <w:rPr>
          <w:rFonts w:hint="eastAsia"/>
          <w:sz w:val="24"/>
          <w:szCs w:val="28"/>
        </w:rPr>
        <w:t>个附录，主要内容包括；总则、术语、基本规定、全过程工程咨询组织及人员职责、投资决策综合性咨询、工程建设全过程咨询、其他专项咨询等。</w:t>
      </w:r>
    </w:p>
    <w:p w14:paraId="00116D10">
      <w:pPr>
        <w:pStyle w:val="2"/>
        <w:adjustRightInd w:val="0"/>
        <w:snapToGrid w:val="0"/>
        <w:spacing w:line="360" w:lineRule="auto"/>
        <w:ind w:left="0" w:firstLine="480" w:firstLineChars="200"/>
        <w:rPr>
          <w:rFonts w:hint="eastAsia"/>
          <w:sz w:val="24"/>
          <w:szCs w:val="28"/>
          <w:lang w:val="en-US"/>
        </w:rPr>
      </w:pPr>
      <w:r>
        <w:rPr>
          <w:rFonts w:hint="eastAsia"/>
          <w:sz w:val="24"/>
          <w:szCs w:val="28"/>
          <w:lang w:val="en-US"/>
        </w:rPr>
        <w:t>本标准由中国建设监理协会负责管理，由主编单位负责具体技术内容的解释。在标准执行过程中，如有意见和建议，请反馈至中国建设监理协会（地址： 邮编： 邮箱：）。</w:t>
      </w:r>
    </w:p>
    <w:p w14:paraId="3791A600">
      <w:pPr>
        <w:pStyle w:val="2"/>
        <w:adjustRightInd w:val="0"/>
        <w:snapToGrid w:val="0"/>
        <w:spacing w:line="360" w:lineRule="auto"/>
        <w:ind w:left="0" w:firstLine="480" w:firstLineChars="200"/>
        <w:rPr>
          <w:rFonts w:hint="eastAsia"/>
          <w:sz w:val="24"/>
          <w:szCs w:val="28"/>
          <w:lang w:val="en-US"/>
        </w:rPr>
      </w:pPr>
      <w:r>
        <w:rPr>
          <w:rFonts w:hint="eastAsia"/>
          <w:sz w:val="24"/>
          <w:szCs w:val="28"/>
          <w:lang w:val="en-US"/>
        </w:rPr>
        <w:t>本标准主编单位：</w:t>
      </w:r>
    </w:p>
    <w:p w14:paraId="699A27C3">
      <w:pPr>
        <w:pStyle w:val="2"/>
        <w:adjustRightInd w:val="0"/>
        <w:snapToGrid w:val="0"/>
        <w:spacing w:line="360" w:lineRule="auto"/>
        <w:ind w:left="0" w:firstLine="480" w:firstLineChars="200"/>
        <w:rPr>
          <w:rFonts w:hint="eastAsia"/>
          <w:sz w:val="24"/>
          <w:szCs w:val="28"/>
          <w:lang w:val="en-US"/>
        </w:rPr>
      </w:pPr>
    </w:p>
    <w:p w14:paraId="59F4628B">
      <w:pPr>
        <w:pStyle w:val="2"/>
        <w:adjustRightInd w:val="0"/>
        <w:snapToGrid w:val="0"/>
        <w:spacing w:line="360" w:lineRule="auto"/>
        <w:ind w:left="0" w:firstLine="480" w:firstLineChars="200"/>
        <w:rPr>
          <w:rFonts w:hint="eastAsia"/>
          <w:sz w:val="24"/>
          <w:szCs w:val="28"/>
          <w:lang w:val="en-US"/>
        </w:rPr>
      </w:pPr>
      <w:r>
        <w:rPr>
          <w:rFonts w:hint="eastAsia"/>
          <w:sz w:val="24"/>
          <w:szCs w:val="28"/>
          <w:lang w:val="en-US"/>
        </w:rPr>
        <w:t>本标准参编单位：</w:t>
      </w:r>
    </w:p>
    <w:p w14:paraId="190B56EA">
      <w:pPr>
        <w:pStyle w:val="2"/>
        <w:adjustRightInd w:val="0"/>
        <w:snapToGrid w:val="0"/>
        <w:spacing w:line="360" w:lineRule="auto"/>
        <w:ind w:left="0" w:firstLine="0"/>
        <w:rPr>
          <w:rFonts w:hint="eastAsia"/>
          <w:sz w:val="24"/>
          <w:szCs w:val="28"/>
          <w:lang w:val="en-US"/>
        </w:rPr>
      </w:pPr>
    </w:p>
    <w:p w14:paraId="63121AE9">
      <w:pPr>
        <w:pStyle w:val="2"/>
        <w:adjustRightInd w:val="0"/>
        <w:snapToGrid w:val="0"/>
        <w:spacing w:line="360" w:lineRule="auto"/>
        <w:ind w:left="0" w:firstLine="480" w:firstLineChars="200"/>
        <w:rPr>
          <w:rFonts w:hint="eastAsia"/>
          <w:sz w:val="24"/>
          <w:szCs w:val="28"/>
          <w:lang w:val="en-US"/>
        </w:rPr>
      </w:pPr>
      <w:r>
        <w:rPr>
          <w:rFonts w:hint="eastAsia"/>
          <w:sz w:val="24"/>
          <w:szCs w:val="28"/>
          <w:lang w:val="en-US"/>
        </w:rPr>
        <w:t>本标准主要起草人：</w:t>
      </w:r>
    </w:p>
    <w:p w14:paraId="489F368F">
      <w:pPr>
        <w:pStyle w:val="2"/>
        <w:adjustRightInd w:val="0"/>
        <w:snapToGrid w:val="0"/>
        <w:spacing w:line="360" w:lineRule="auto"/>
        <w:ind w:left="0" w:firstLine="0"/>
        <w:rPr>
          <w:rFonts w:hint="eastAsia"/>
          <w:sz w:val="24"/>
          <w:szCs w:val="24"/>
        </w:rPr>
      </w:pPr>
    </w:p>
    <w:p w14:paraId="1EFCE497">
      <w:pPr>
        <w:pStyle w:val="2"/>
        <w:adjustRightInd w:val="0"/>
        <w:snapToGrid w:val="0"/>
        <w:spacing w:line="360" w:lineRule="auto"/>
        <w:ind w:left="0" w:firstLine="480" w:firstLineChars="200"/>
        <w:rPr>
          <w:rFonts w:hint="eastAsia"/>
          <w:sz w:val="24"/>
          <w:szCs w:val="28"/>
          <w:lang w:val="en-US"/>
        </w:rPr>
      </w:pPr>
      <w:r>
        <w:rPr>
          <w:rFonts w:hint="eastAsia"/>
          <w:sz w:val="24"/>
          <w:szCs w:val="28"/>
          <w:lang w:val="en-US"/>
        </w:rPr>
        <w:t>本标准主要审查人：</w:t>
      </w:r>
      <w:r>
        <w:rPr>
          <w:sz w:val="24"/>
          <w:szCs w:val="28"/>
          <w:lang w:val="en-US"/>
        </w:rPr>
        <w:t xml:space="preserve"> </w:t>
      </w:r>
    </w:p>
    <w:p w14:paraId="66DA4A1F">
      <w:pPr>
        <w:pStyle w:val="2"/>
        <w:adjustRightInd w:val="0"/>
        <w:snapToGrid w:val="0"/>
        <w:spacing w:line="360" w:lineRule="auto"/>
        <w:ind w:left="0" w:firstLine="0"/>
        <w:rPr>
          <w:rFonts w:hint="eastAsia"/>
          <w:sz w:val="24"/>
          <w:szCs w:val="24"/>
          <w:lang w:val="en-US"/>
        </w:rPr>
      </w:pPr>
    </w:p>
    <w:p w14:paraId="5F5A7C39">
      <w:pPr>
        <w:pStyle w:val="2"/>
        <w:adjustRightInd w:val="0"/>
        <w:snapToGrid w:val="0"/>
        <w:spacing w:line="360" w:lineRule="auto"/>
        <w:ind w:left="0" w:firstLine="0"/>
        <w:rPr>
          <w:rFonts w:hint="eastAsia"/>
          <w:lang w:val="en-US"/>
        </w:rPr>
      </w:pPr>
    </w:p>
    <w:p w14:paraId="42F468F6">
      <w:pPr>
        <w:adjustRightInd w:val="0"/>
        <w:snapToGrid w:val="0"/>
        <w:spacing w:line="360" w:lineRule="auto"/>
        <w:outlineLvl w:val="0"/>
        <w:rPr>
          <w:b/>
          <w:bCs/>
          <w:sz w:val="28"/>
          <w:szCs w:val="32"/>
        </w:rPr>
        <w:sectPr>
          <w:pgSz w:w="11906" w:h="16838"/>
          <w:pgMar w:top="1440" w:right="1800" w:bottom="1440" w:left="1800" w:header="851" w:footer="992" w:gutter="0"/>
          <w:pgNumType w:start="1"/>
          <w:cols w:space="425" w:num="1"/>
          <w:docGrid w:type="lines" w:linePitch="312" w:charSpace="0"/>
        </w:sectPr>
      </w:pPr>
    </w:p>
    <w:p w14:paraId="5172B8B5">
      <w:pPr>
        <w:adjustRightInd w:val="0"/>
        <w:snapToGrid w:val="0"/>
        <w:spacing w:line="360" w:lineRule="auto"/>
        <w:outlineLvl w:val="0"/>
        <w:rPr>
          <w:b/>
          <w:bCs/>
          <w:sz w:val="28"/>
          <w:szCs w:val="32"/>
        </w:rPr>
      </w:pPr>
      <w:bookmarkStart w:id="3" w:name="_Toc190875404"/>
      <w:r>
        <w:rPr>
          <w:b/>
          <w:bCs/>
          <w:sz w:val="28"/>
          <w:szCs w:val="32"/>
        </w:rPr>
        <w:t xml:space="preserve">1 </w:t>
      </w:r>
      <w:r>
        <w:rPr>
          <w:rFonts w:hint="eastAsia"/>
          <w:b/>
          <w:bCs/>
          <w:sz w:val="28"/>
          <w:szCs w:val="32"/>
        </w:rPr>
        <w:t>总则</w:t>
      </w:r>
      <w:bookmarkEnd w:id="3"/>
    </w:p>
    <w:p w14:paraId="3924DA83">
      <w:pPr>
        <w:adjustRightInd w:val="0"/>
        <w:snapToGrid w:val="0"/>
        <w:spacing w:line="360" w:lineRule="auto"/>
        <w:ind w:firstLine="480" w:firstLineChars="200"/>
        <w:rPr>
          <w:sz w:val="24"/>
          <w:szCs w:val="24"/>
        </w:rPr>
      </w:pPr>
      <w:r>
        <w:rPr>
          <w:sz w:val="24"/>
          <w:szCs w:val="24"/>
        </w:rPr>
        <w:t>1.0.1 为适应工程咨询服务</w:t>
      </w:r>
      <w:r>
        <w:rPr>
          <w:rFonts w:hint="eastAsia"/>
          <w:sz w:val="24"/>
          <w:szCs w:val="24"/>
        </w:rPr>
        <w:t>行业</w:t>
      </w:r>
      <w:r>
        <w:rPr>
          <w:sz w:val="24"/>
          <w:szCs w:val="24"/>
        </w:rPr>
        <w:t>的高质量发展要求，提升工程监理企业核心竞争力，引导工程监理企业向全过程工程咨询企业转型发展，指导全过程工程咨询服务的开展，制定本标准。</w:t>
      </w:r>
    </w:p>
    <w:p w14:paraId="55DF9680">
      <w:pPr>
        <w:adjustRightInd w:val="0"/>
        <w:snapToGrid w:val="0"/>
        <w:spacing w:line="360" w:lineRule="auto"/>
        <w:ind w:firstLine="480" w:firstLineChars="200"/>
        <w:rPr>
          <w:sz w:val="24"/>
          <w:szCs w:val="24"/>
        </w:rPr>
      </w:pPr>
      <w:r>
        <w:rPr>
          <w:sz w:val="24"/>
          <w:szCs w:val="24"/>
        </w:rPr>
        <w:t xml:space="preserve">1.0.2 </w:t>
      </w:r>
      <w:r>
        <w:rPr>
          <w:rFonts w:hint="eastAsia"/>
          <w:sz w:val="24"/>
          <w:szCs w:val="24"/>
        </w:rPr>
        <w:t>本标准适用于工程监理企业开展全过程工程咨询服务，其他企业也可参考使用。</w:t>
      </w:r>
    </w:p>
    <w:p w14:paraId="7D9D8E34">
      <w:pPr>
        <w:adjustRightInd w:val="0"/>
        <w:snapToGrid w:val="0"/>
        <w:spacing w:line="360" w:lineRule="auto"/>
        <w:ind w:firstLine="480" w:firstLineChars="200"/>
        <w:rPr>
          <w:sz w:val="24"/>
          <w:szCs w:val="24"/>
        </w:rPr>
      </w:pPr>
      <w:r>
        <w:rPr>
          <w:sz w:val="24"/>
          <w:szCs w:val="24"/>
        </w:rPr>
        <w:t xml:space="preserve">1.0.3 </w:t>
      </w:r>
      <w:r>
        <w:rPr>
          <w:rFonts w:hint="eastAsia"/>
          <w:sz w:val="24"/>
          <w:szCs w:val="24"/>
        </w:rPr>
        <w:t>工程监理企业在提供全过程工程咨询服务时，服务内容包括但不限于本标准所包含的内容，可扩展至工程项目在决策、实施和运营阶段所需的其他咨询服务。</w:t>
      </w:r>
    </w:p>
    <w:p w14:paraId="50A7B9A0">
      <w:pPr>
        <w:adjustRightInd w:val="0"/>
        <w:snapToGrid w:val="0"/>
        <w:spacing w:line="360" w:lineRule="auto"/>
        <w:ind w:firstLine="480" w:firstLineChars="200"/>
        <w:rPr>
          <w:sz w:val="24"/>
          <w:szCs w:val="24"/>
        </w:rPr>
      </w:pPr>
      <w:r>
        <w:rPr>
          <w:sz w:val="24"/>
          <w:szCs w:val="24"/>
        </w:rPr>
        <w:t xml:space="preserve">1.0.4 </w:t>
      </w:r>
      <w:r>
        <w:rPr>
          <w:rFonts w:hint="eastAsia"/>
          <w:sz w:val="24"/>
          <w:szCs w:val="24"/>
        </w:rPr>
        <w:t>工程监理企业在实施全过程工程咨询服务时，应注重服务质量和效率，积极响应客户需求，不断创新服务模式。</w:t>
      </w:r>
    </w:p>
    <w:p w14:paraId="1DA21B71">
      <w:pPr>
        <w:adjustRightInd w:val="0"/>
        <w:snapToGrid w:val="0"/>
        <w:spacing w:line="360" w:lineRule="auto"/>
        <w:ind w:firstLine="480" w:firstLineChars="200"/>
        <w:rPr>
          <w:rFonts w:hint="eastAsia" w:ascii="宋体" w:hAnsi="宋体"/>
          <w:sz w:val="24"/>
          <w:szCs w:val="24"/>
        </w:rPr>
      </w:pPr>
      <w:r>
        <w:rPr>
          <w:rFonts w:ascii="Times New Roman" w:hAnsi="Times New Roman"/>
          <w:bCs/>
          <w:sz w:val="24"/>
          <w:szCs w:val="24"/>
        </w:rPr>
        <w:t>1.</w:t>
      </w:r>
      <w:r>
        <w:rPr>
          <w:rFonts w:hint="eastAsia" w:ascii="Times New Roman" w:hAnsi="Times New Roman"/>
          <w:bCs/>
          <w:sz w:val="24"/>
          <w:szCs w:val="24"/>
        </w:rPr>
        <w:t>0.5</w:t>
      </w:r>
      <w:r>
        <w:rPr>
          <w:rFonts w:ascii="宋体" w:hAnsi="宋体"/>
          <w:sz w:val="24"/>
          <w:szCs w:val="24"/>
        </w:rPr>
        <w:t xml:space="preserve"> 工程监理</w:t>
      </w:r>
      <w:r>
        <w:rPr>
          <w:rFonts w:hint="eastAsia" w:ascii="宋体" w:hAnsi="宋体"/>
          <w:sz w:val="24"/>
          <w:szCs w:val="24"/>
        </w:rPr>
        <w:t>企业</w:t>
      </w:r>
      <w:r>
        <w:rPr>
          <w:rFonts w:ascii="宋体" w:hAnsi="宋体"/>
          <w:sz w:val="24"/>
          <w:szCs w:val="24"/>
        </w:rPr>
        <w:t>宜应用数智技术开展</w:t>
      </w:r>
      <w:r>
        <w:rPr>
          <w:rFonts w:hint="eastAsia" w:ascii="宋体" w:hAnsi="宋体"/>
          <w:sz w:val="24"/>
          <w:szCs w:val="24"/>
        </w:rPr>
        <w:t>全过程工程咨询工作</w:t>
      </w:r>
      <w:r>
        <w:rPr>
          <w:rFonts w:ascii="宋体" w:hAnsi="宋体"/>
          <w:sz w:val="24"/>
          <w:szCs w:val="24"/>
        </w:rPr>
        <w:t>。</w:t>
      </w:r>
    </w:p>
    <w:p w14:paraId="20655BB3">
      <w:pPr>
        <w:adjustRightInd w:val="0"/>
        <w:snapToGrid w:val="0"/>
        <w:spacing w:line="360" w:lineRule="auto"/>
        <w:ind w:firstLine="480" w:firstLineChars="200"/>
        <w:rPr>
          <w:sz w:val="24"/>
          <w:szCs w:val="24"/>
        </w:rPr>
      </w:pPr>
      <w:r>
        <w:rPr>
          <w:sz w:val="24"/>
          <w:szCs w:val="24"/>
        </w:rPr>
        <w:t>1.0.</w:t>
      </w:r>
      <w:r>
        <w:rPr>
          <w:rFonts w:hint="eastAsia"/>
          <w:sz w:val="24"/>
          <w:szCs w:val="24"/>
        </w:rPr>
        <w:t>6</w:t>
      </w:r>
      <w:r>
        <w:rPr>
          <w:sz w:val="24"/>
          <w:szCs w:val="24"/>
        </w:rPr>
        <w:t xml:space="preserve"> </w:t>
      </w:r>
      <w:r>
        <w:rPr>
          <w:rFonts w:hint="eastAsia"/>
          <w:sz w:val="24"/>
          <w:szCs w:val="24"/>
        </w:rPr>
        <w:t>工程监理企业在实施全过程工程咨询服务时，除应符合本标准的规定外，尚应符合国家、行业、地方现行有关标准的规定。</w:t>
      </w:r>
    </w:p>
    <w:p w14:paraId="0ACFDA9B">
      <w:pPr>
        <w:pStyle w:val="2"/>
        <w:spacing w:line="360" w:lineRule="auto"/>
        <w:rPr>
          <w:rFonts w:hint="eastAsia"/>
          <w:lang w:val="en-US" w:bidi="ar-SA"/>
        </w:rPr>
      </w:pPr>
    </w:p>
    <w:p w14:paraId="6B7BB0C6">
      <w:pPr>
        <w:adjustRightInd w:val="0"/>
        <w:snapToGrid w:val="0"/>
        <w:spacing w:line="360" w:lineRule="auto"/>
        <w:rPr>
          <w:b/>
          <w:bCs/>
          <w:sz w:val="36"/>
          <w:szCs w:val="40"/>
        </w:rPr>
      </w:pPr>
      <w:r>
        <w:rPr>
          <w:b/>
          <w:bCs/>
          <w:sz w:val="36"/>
          <w:szCs w:val="40"/>
        </w:rPr>
        <w:br w:type="page"/>
      </w:r>
    </w:p>
    <w:p w14:paraId="03399877">
      <w:pPr>
        <w:adjustRightInd w:val="0"/>
        <w:snapToGrid w:val="0"/>
        <w:spacing w:line="360" w:lineRule="auto"/>
        <w:outlineLvl w:val="0"/>
        <w:rPr>
          <w:b/>
          <w:bCs/>
          <w:sz w:val="28"/>
          <w:szCs w:val="32"/>
        </w:rPr>
      </w:pPr>
      <w:bookmarkStart w:id="4" w:name="_Toc190875405"/>
      <w:r>
        <w:rPr>
          <w:b/>
          <w:bCs/>
          <w:sz w:val="28"/>
          <w:szCs w:val="32"/>
        </w:rPr>
        <w:t xml:space="preserve">2 </w:t>
      </w:r>
      <w:r>
        <w:rPr>
          <w:rFonts w:hint="eastAsia"/>
          <w:b/>
          <w:bCs/>
          <w:sz w:val="28"/>
          <w:szCs w:val="32"/>
        </w:rPr>
        <w:t>术语</w:t>
      </w:r>
      <w:bookmarkEnd w:id="4"/>
    </w:p>
    <w:p w14:paraId="5859DFBD">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委托方</w:t>
      </w:r>
      <w:r>
        <w:rPr>
          <w:b/>
          <w:bCs/>
          <w:sz w:val="24"/>
          <w:szCs w:val="24"/>
        </w:rPr>
        <w:t xml:space="preserve"> Client</w:t>
      </w:r>
    </w:p>
    <w:p w14:paraId="0AE92D2E">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与工程监理企业签订全过程工程咨询服务合同的法人组织。</w:t>
      </w:r>
    </w:p>
    <w:p w14:paraId="6B3F691C">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工程咨询机构</w:t>
      </w:r>
      <w:r>
        <w:rPr>
          <w:b/>
          <w:bCs/>
          <w:sz w:val="24"/>
          <w:szCs w:val="24"/>
        </w:rPr>
        <w:t xml:space="preserve"> Consulting project service organization</w:t>
      </w:r>
    </w:p>
    <w:p w14:paraId="7AB05413">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由工程监理企业组建，负责具体履行全过程工程咨询服务合同的组织机构。</w:t>
      </w:r>
    </w:p>
    <w:p w14:paraId="318D11D9">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工程咨询项目总负责人</w:t>
      </w:r>
      <w:r>
        <w:rPr>
          <w:b/>
          <w:bCs/>
          <w:sz w:val="24"/>
          <w:szCs w:val="24"/>
        </w:rPr>
        <w:t xml:space="preserve"> Chief consultant of project</w:t>
      </w:r>
    </w:p>
    <w:p w14:paraId="0BF28023">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由工程监理企业书面任命，全面负责全过程工程咨询服务的组织和实施，在工程监理企业授权范围内负责合同履行，具有相应资格或能力的工程咨询机构负责人。</w:t>
      </w:r>
    </w:p>
    <w:p w14:paraId="712A6B12">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专项咨询负责人</w:t>
      </w:r>
      <w:r>
        <w:rPr>
          <w:b/>
          <w:bCs/>
          <w:sz w:val="24"/>
          <w:szCs w:val="24"/>
        </w:rPr>
        <w:t xml:space="preserve"> Professional consulting engineer</w:t>
      </w:r>
    </w:p>
    <w:p w14:paraId="035A7FC3">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由工程监理企业书面任命，在工程咨询项目总负责人的管理协调下主持本专项咨询服务工作，具有相应资格或能力的专项咨询人。</w:t>
      </w:r>
    </w:p>
    <w:p w14:paraId="4DA48373">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咨询工程师</w:t>
      </w:r>
    </w:p>
    <w:p w14:paraId="30EDB3F9">
      <w:pPr>
        <w:adjustRightInd w:val="0"/>
        <w:snapToGrid w:val="0"/>
        <w:spacing w:line="360" w:lineRule="auto"/>
        <w:ind w:firstLine="480" w:firstLineChars="200"/>
        <w:rPr>
          <w:rFonts w:hint="eastAsia" w:ascii="宋体" w:hAnsi="宋体" w:cs="宋体"/>
          <w:sz w:val="24"/>
          <w:szCs w:val="24"/>
          <w:lang w:bidi="zh-CN"/>
        </w:rPr>
      </w:pPr>
      <w:r>
        <w:rPr>
          <w:rFonts w:ascii="宋体" w:hAnsi="宋体" w:cs="宋体"/>
          <w:sz w:val="24"/>
          <w:szCs w:val="24"/>
          <w:lang w:bidi="zh-CN"/>
        </w:rPr>
        <w:t>取得相应专业咨询的注册执业资格或具备相应能力，取得工程类或工程经济类中级及以上职称，并具有类似工程经验</w:t>
      </w:r>
      <w:r>
        <w:rPr>
          <w:rFonts w:hint="eastAsia" w:ascii="宋体" w:hAnsi="宋体" w:cs="宋体"/>
          <w:sz w:val="24"/>
          <w:szCs w:val="24"/>
          <w:lang w:bidi="zh-CN"/>
        </w:rPr>
        <w:t>的专业人士。</w:t>
      </w:r>
    </w:p>
    <w:p w14:paraId="59965550">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全过程工程咨询</w:t>
      </w:r>
      <w:r>
        <w:rPr>
          <w:b/>
          <w:bCs/>
          <w:sz w:val="24"/>
          <w:szCs w:val="24"/>
        </w:rPr>
        <w:t xml:space="preserve">  Whole </w:t>
      </w:r>
      <w:r>
        <w:rPr>
          <w:rFonts w:hint="eastAsia"/>
          <w:b/>
          <w:bCs/>
          <w:sz w:val="24"/>
          <w:szCs w:val="24"/>
        </w:rPr>
        <w:t>p</w:t>
      </w:r>
      <w:r>
        <w:rPr>
          <w:b/>
          <w:bCs/>
          <w:sz w:val="24"/>
          <w:szCs w:val="24"/>
        </w:rPr>
        <w:t xml:space="preserve">rocess </w:t>
      </w:r>
      <w:r>
        <w:rPr>
          <w:rFonts w:hint="eastAsia"/>
          <w:b/>
          <w:bCs/>
          <w:sz w:val="24"/>
          <w:szCs w:val="24"/>
        </w:rPr>
        <w:t>e</w:t>
      </w:r>
      <w:r>
        <w:rPr>
          <w:b/>
          <w:bCs/>
          <w:sz w:val="24"/>
          <w:szCs w:val="24"/>
        </w:rPr>
        <w:t xml:space="preserve">ngineering </w:t>
      </w:r>
      <w:r>
        <w:rPr>
          <w:rFonts w:hint="eastAsia"/>
          <w:b/>
          <w:bCs/>
          <w:sz w:val="24"/>
          <w:szCs w:val="24"/>
        </w:rPr>
        <w:t>c</w:t>
      </w:r>
      <w:r>
        <w:rPr>
          <w:b/>
          <w:bCs/>
          <w:sz w:val="24"/>
          <w:szCs w:val="24"/>
        </w:rPr>
        <w:t>onsulting</w:t>
      </w:r>
    </w:p>
    <w:p w14:paraId="7753B401">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工程监理企业综合运用多学科知识、工程实践经验、现代科学技术和经济管理方法，发挥工程项目管理的统筹和集成作用，采用多种服务组合方式，为委托方在项目决策、工程建设、项目运营提供阶段性或整体解决方案的综合性智力服务活动。</w:t>
      </w:r>
    </w:p>
    <w:p w14:paraId="612D7150">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投资决策综合性咨询</w:t>
      </w:r>
      <w:r>
        <w:rPr>
          <w:b/>
          <w:bCs/>
          <w:sz w:val="24"/>
          <w:szCs w:val="24"/>
        </w:rPr>
        <w:t>Comprehensive consulting for investment decision</w:t>
      </w:r>
    </w:p>
    <w:p w14:paraId="2760FA15">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工程监理企业接受委托方委托，在工程项目投资决策阶段，就投资项目的市场、技术、经济、生态环境、能源、资源、安全等影响可行性的要素，结合国家、地区、行业发展规划及相关重大专项建设规划、产业政策、技术标准及相关审批要求进行综合分析研究和论证，为委托方在工程项目投资、建设和运营等方面提供决策依据和建议的活动。</w:t>
      </w:r>
    </w:p>
    <w:p w14:paraId="4E66C04F">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工程建设全过程咨询</w:t>
      </w:r>
      <w:r>
        <w:rPr>
          <w:b/>
          <w:bCs/>
          <w:sz w:val="24"/>
          <w:szCs w:val="24"/>
        </w:rPr>
        <w:t xml:space="preserve"> Engineering consulting for implementation stage</w:t>
      </w:r>
    </w:p>
    <w:p w14:paraId="56EC77E1">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工程监理企业接受委托方委托，在工程建设实施阶段，提供报批报建、勘察设计管理、造价咨询、招标采购咨询、工程监理、施工项目管理等专业咨询的组合或整合集成的综合咨询服务活动。</w:t>
      </w:r>
    </w:p>
    <w:p w14:paraId="48BFE321">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专项咨询</w:t>
      </w:r>
      <w:r>
        <w:rPr>
          <w:b/>
          <w:bCs/>
          <w:sz w:val="24"/>
          <w:szCs w:val="24"/>
        </w:rPr>
        <w:t xml:space="preserve"> Engineering consulting for specific industry</w:t>
      </w:r>
    </w:p>
    <w:p w14:paraId="04795484">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建设项目所需的特定专业领域的咨询服务。</w:t>
      </w:r>
    </w:p>
    <w:p w14:paraId="1DBE5664">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建筑节能与绿色建筑咨询</w:t>
      </w:r>
      <w:r>
        <w:rPr>
          <w:b/>
          <w:bCs/>
          <w:sz w:val="24"/>
          <w:szCs w:val="24"/>
        </w:rPr>
        <w:t>Building energy conservation and Green building consulting</w:t>
      </w:r>
    </w:p>
    <w:p w14:paraId="2A04FD64">
      <w:pPr>
        <w:adjustRightInd w:val="0"/>
        <w:snapToGrid w:val="0"/>
        <w:spacing w:line="360" w:lineRule="auto"/>
        <w:ind w:firstLine="480" w:firstLineChars="200"/>
        <w:rPr>
          <w:rFonts w:hint="eastAsia" w:ascii="宋体" w:hAnsi="宋体" w:cs="宋体"/>
          <w:sz w:val="24"/>
          <w:szCs w:val="24"/>
          <w:lang w:bidi="zh-CN"/>
        </w:rPr>
      </w:pPr>
      <w:r>
        <w:rPr>
          <w:rFonts w:hint="eastAsia" w:ascii="宋体" w:hAnsi="宋体" w:cs="宋体"/>
          <w:sz w:val="24"/>
          <w:szCs w:val="24"/>
          <w:lang w:bidi="zh-CN"/>
        </w:rPr>
        <w:t>工程监理企业为委托方提供建筑节能与绿色建筑技术和管理的专项咨询活动。</w:t>
      </w:r>
    </w:p>
    <w:p w14:paraId="1C79AE9C">
      <w:pPr>
        <w:pStyle w:val="39"/>
        <w:numPr>
          <w:ilvl w:val="2"/>
          <w:numId w:val="1"/>
        </w:numPr>
        <w:tabs>
          <w:tab w:val="left" w:pos="709"/>
        </w:tabs>
        <w:adjustRightInd w:val="0"/>
        <w:snapToGrid w:val="0"/>
        <w:spacing w:line="360" w:lineRule="auto"/>
        <w:ind w:left="0" w:firstLine="0"/>
        <w:rPr>
          <w:b/>
          <w:bCs/>
          <w:sz w:val="24"/>
          <w:szCs w:val="24"/>
        </w:rPr>
      </w:pPr>
      <w:r>
        <w:rPr>
          <w:rFonts w:hint="eastAsia"/>
          <w:b/>
          <w:bCs/>
          <w:sz w:val="24"/>
          <w:szCs w:val="24"/>
        </w:rPr>
        <w:t>工程保险咨询</w:t>
      </w:r>
      <w:r>
        <w:rPr>
          <w:rFonts w:ascii="Times New Roman" w:hAnsi="Times New Roman"/>
          <w:b/>
          <w:sz w:val="24"/>
          <w:szCs w:val="24"/>
        </w:rPr>
        <w:t>Engineering insurance consulting</w:t>
      </w:r>
    </w:p>
    <w:p w14:paraId="6768B2D8">
      <w:pPr>
        <w:overflowPunct w:val="0"/>
        <w:spacing w:line="360" w:lineRule="auto"/>
        <w:ind w:firstLine="480" w:firstLineChars="200"/>
        <w:rPr>
          <w:rFonts w:ascii="Times New Roman" w:hAnsi="Times New Roman"/>
          <w:sz w:val="24"/>
          <w:szCs w:val="24"/>
        </w:rPr>
      </w:pPr>
      <w:r>
        <w:rPr>
          <w:rFonts w:hint="eastAsia" w:ascii="Times New Roman" w:hAnsi="Times New Roman"/>
          <w:sz w:val="24"/>
          <w:szCs w:val="24"/>
        </w:rPr>
        <w:t>工程监理企业为委托方提供工程保险实施方案、协助实施工程保险索赔的专项咨询活动。</w:t>
      </w:r>
    </w:p>
    <w:p w14:paraId="02EDF29D">
      <w:pPr>
        <w:pStyle w:val="2"/>
        <w:rPr>
          <w:rFonts w:hint="eastAsia"/>
          <w:lang w:val="en-US" w:bidi="ar-SA"/>
        </w:rPr>
        <w:sectPr>
          <w:pgSz w:w="11906" w:h="16838"/>
          <w:pgMar w:top="1440" w:right="1800" w:bottom="1440" w:left="1800" w:header="851" w:footer="992" w:gutter="0"/>
          <w:pgNumType w:start="1"/>
          <w:cols w:space="425" w:num="1"/>
          <w:docGrid w:type="lines" w:linePitch="312" w:charSpace="0"/>
        </w:sectPr>
      </w:pPr>
    </w:p>
    <w:p w14:paraId="47C908BE">
      <w:pPr>
        <w:adjustRightInd w:val="0"/>
        <w:snapToGrid w:val="0"/>
        <w:spacing w:line="360" w:lineRule="auto"/>
        <w:outlineLvl w:val="0"/>
        <w:rPr>
          <w:b/>
          <w:bCs/>
          <w:sz w:val="28"/>
          <w:szCs w:val="32"/>
        </w:rPr>
      </w:pPr>
      <w:bookmarkStart w:id="5" w:name="_Toc190875406"/>
      <w:r>
        <w:rPr>
          <w:rFonts w:hint="eastAsia"/>
          <w:b/>
          <w:bCs/>
          <w:sz w:val="28"/>
          <w:szCs w:val="32"/>
        </w:rPr>
        <w:t>3</w:t>
      </w:r>
      <w:r>
        <w:rPr>
          <w:b/>
          <w:bCs/>
          <w:sz w:val="28"/>
          <w:szCs w:val="32"/>
        </w:rPr>
        <w:t xml:space="preserve"> </w:t>
      </w:r>
      <w:r>
        <w:rPr>
          <w:rFonts w:hint="eastAsia"/>
          <w:b/>
          <w:bCs/>
          <w:sz w:val="28"/>
          <w:szCs w:val="32"/>
        </w:rPr>
        <w:t>基本规定</w:t>
      </w:r>
      <w:bookmarkEnd w:id="5"/>
    </w:p>
    <w:p w14:paraId="06612D74">
      <w:pPr>
        <w:adjustRightInd w:val="0"/>
        <w:snapToGrid w:val="0"/>
        <w:spacing w:line="360" w:lineRule="auto"/>
        <w:ind w:left="420" w:leftChars="200"/>
        <w:outlineLvl w:val="1"/>
        <w:rPr>
          <w:b/>
          <w:bCs/>
          <w:sz w:val="28"/>
          <w:szCs w:val="32"/>
        </w:rPr>
      </w:pPr>
      <w:bookmarkStart w:id="6" w:name="_Toc190875407"/>
      <w:r>
        <w:rPr>
          <w:rFonts w:hint="eastAsia"/>
          <w:b/>
          <w:bCs/>
          <w:sz w:val="28"/>
          <w:szCs w:val="32"/>
        </w:rPr>
        <w:t>3.1 一般规定</w:t>
      </w:r>
      <w:bookmarkEnd w:id="6"/>
    </w:p>
    <w:p w14:paraId="1485FFD9">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3.1.1 工程监理企业开展全过程工程咨询服务，应符合国家、行业及地方现行相关法律法规、规范标准以及当地主管部门的管理要求，并符合全过程工程咨询合同约定。</w:t>
      </w:r>
    </w:p>
    <w:p w14:paraId="53ACCB47">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 xml:space="preserve">3.1.2 </w:t>
      </w:r>
      <w:r>
        <w:rPr>
          <w:rFonts w:ascii="Times New Roman" w:hAnsi="Times New Roman"/>
          <w:sz w:val="24"/>
          <w:szCs w:val="24"/>
          <w:lang w:bidi="zh-CN"/>
        </w:rPr>
        <w:t>工程监理企业应从战略规划、组织管理、制度建设、人才发展、知识管理、财务管理、文化建设、风险管控和持续改进等多个方面入手，全面提升企业管理水平，以适应全过程工程咨询业务的发展需求。</w:t>
      </w:r>
    </w:p>
    <w:p w14:paraId="4331EF90">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3.1.3 工程监理企业应根据全过程工程咨询合同约定的服务范围和要求，选派具有相应执业资格和能力的管理和技术人员，组建与工程特点、建设环境、服务范围和内容相适应的工程咨询机构。</w:t>
      </w:r>
    </w:p>
    <w:p w14:paraId="6DC03024">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3.1.4 当以联合体方式承接全过程工程咨询服务时，联合体牵头方应负责工程咨询机构的组织模式设计，明确联合体各方职责，并派出工程咨询项目总负责人。</w:t>
      </w:r>
    </w:p>
    <w:p w14:paraId="73B4F3F5">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3.1.5 工程咨询机构应根据委托方及利益相关方的需求、项目实际情况和全过程工程咨询服务合同约定，进行全过程工程咨询服务策划，形成全过程工程咨询总体策划大纲、专项咨询策划方案、专项咨询实施细则和工作制度体系等成果文件，并经工程咨询项目总负责人审核后发与委托方。针对特定专项咨询，若法律法规对审核程序或人员做了特殊规定的，按相应规定执行。</w:t>
      </w:r>
    </w:p>
    <w:p w14:paraId="7FFFECD2">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3.1.6 全过程工程咨询总体策划大纲应由工程咨询项目总负责人牵头组织各专项咨询负责人编制，应包括工程概况、咨询服务范围及内容、工程咨询机构及人员安排、咨询和管理工作重难点及应对措施、咨询工作进度安排等。</w:t>
      </w:r>
    </w:p>
    <w:p w14:paraId="182D2702">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3.1.7 专项咨询策划方案应由专项咨询负责人在专项咨询开展前负责编制，在服务目标、管理措施等方面与全过程工程咨询总体策划大纲协调一致，应包括工程概况、咨询工作目标和任务分解、咨询工作依据、咨询工作组织机构、人员配备及岗位职责、咨询工作重难点及应对措施、咨询工作安排、咨询工作可交付成果及其表达形式等。</w:t>
      </w:r>
    </w:p>
    <w:p w14:paraId="173E2ECD">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3.1.8 针对专业性较强且需要重点管控的关键工作，或对建设项目效益产生重大影响的建设环节与内容时，若专项工程咨询策划方案无法充分满足实际需求，专项咨询负责人应依据具体情况，及时编制专项咨询实施细则，以确保咨询工作的精准性与有效性。</w:t>
      </w:r>
    </w:p>
    <w:p w14:paraId="4796355B">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3.1.9 工程咨询机构应根据全过程工程咨询服务合同，结合总体策划大纲所明确的框架方向、策划方案所细化的具体步骤以及实施细则所规定的操作细节，系统性地编制针对性的全过程工程咨询工作制度。该制度体系宜涵盖统筹管理工作制度、投资管理工作制度、进度管理工作制度、质量管理工作制度、安全管理工作制度、合同管理工作制度等多个方面，以确保咨询工作的全面性、规范性和有效性。</w:t>
      </w:r>
    </w:p>
    <w:p w14:paraId="6889B774">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3.1.10 全过程工程咨询服务策划成果文件应由工程咨询项目总负责人审核，其中总体策划大纲应经工程监理企业技术负责人审批，并报委托方认可后执行，在咨询工作开始前应向管理对象进行交底并形成记录。</w:t>
      </w:r>
    </w:p>
    <w:p w14:paraId="6BB1534D">
      <w:pPr>
        <w:adjustRightInd w:val="0"/>
        <w:snapToGrid w:val="0"/>
        <w:spacing w:line="360" w:lineRule="auto"/>
        <w:ind w:firstLine="480" w:firstLineChars="200"/>
        <w:rPr>
          <w:sz w:val="24"/>
          <w:szCs w:val="24"/>
        </w:rPr>
      </w:pPr>
      <w:r>
        <w:rPr>
          <w:sz w:val="24"/>
          <w:szCs w:val="24"/>
        </w:rPr>
        <w:t>3.1.1</w:t>
      </w:r>
      <w:r>
        <w:rPr>
          <w:rFonts w:hint="eastAsia"/>
          <w:sz w:val="24"/>
          <w:szCs w:val="24"/>
        </w:rPr>
        <w:t>1</w:t>
      </w:r>
      <w:r>
        <w:rPr>
          <w:sz w:val="24"/>
          <w:szCs w:val="24"/>
        </w:rPr>
        <w:t xml:space="preserve"> </w:t>
      </w:r>
      <w:r>
        <w:rPr>
          <w:rFonts w:hint="eastAsia"/>
          <w:sz w:val="24"/>
          <w:szCs w:val="24"/>
        </w:rPr>
        <w:t>咨询服务过程中，工程咨询机构应根据合同约定，运用系统思维、主动思维、超前思维和增值思维，协助委托方做好投资决策阶段、工程建设阶段和运营阶段各专项工程咨询的统筹管理工作。</w:t>
      </w:r>
    </w:p>
    <w:p w14:paraId="453BB10D">
      <w:pPr>
        <w:adjustRightInd w:val="0"/>
        <w:snapToGrid w:val="0"/>
        <w:spacing w:line="360" w:lineRule="auto"/>
        <w:ind w:firstLine="480" w:firstLineChars="200"/>
        <w:rPr>
          <w:sz w:val="24"/>
          <w:szCs w:val="24"/>
        </w:rPr>
      </w:pPr>
      <w:r>
        <w:rPr>
          <w:sz w:val="24"/>
          <w:szCs w:val="24"/>
        </w:rPr>
        <w:t>3.1.1</w:t>
      </w:r>
      <w:r>
        <w:rPr>
          <w:rFonts w:hint="eastAsia"/>
          <w:sz w:val="24"/>
          <w:szCs w:val="24"/>
        </w:rPr>
        <w:t>2</w:t>
      </w:r>
      <w:r>
        <w:rPr>
          <w:sz w:val="24"/>
          <w:szCs w:val="24"/>
        </w:rPr>
        <w:t xml:space="preserve"> </w:t>
      </w:r>
      <w:r>
        <w:rPr>
          <w:rFonts w:hint="eastAsia"/>
          <w:sz w:val="24"/>
          <w:szCs w:val="24"/>
        </w:rPr>
        <w:t>工程咨询机构应根据项目咨询服务的范围和内容，结合项目咨询服务各阶段的特点、难点和创新点，在各阶段全过程工程咨询服务和专项工程咨询服务完成后开展咨询服务总结，并于咨询服务履约完毕后对咨询工作进行综合性、系统性总结。</w:t>
      </w:r>
    </w:p>
    <w:p w14:paraId="3340B803">
      <w:pPr>
        <w:overflowPunct w:val="0"/>
        <w:spacing w:line="360" w:lineRule="auto"/>
        <w:ind w:firstLine="480" w:firstLineChars="200"/>
      </w:pPr>
      <w:r>
        <w:rPr>
          <w:rFonts w:hint="eastAsia" w:ascii="Times New Roman" w:hAnsi="Times New Roman"/>
          <w:sz w:val="24"/>
        </w:rPr>
        <w:t>3.1.13</w:t>
      </w:r>
      <w:r>
        <w:rPr>
          <w:rFonts w:ascii="Times New Roman" w:hAnsi="Times New Roman"/>
          <w:sz w:val="24"/>
        </w:rPr>
        <w:t xml:space="preserve"> 工程</w:t>
      </w:r>
      <w:r>
        <w:rPr>
          <w:rFonts w:hint="eastAsia" w:ascii="Times New Roman" w:hAnsi="Times New Roman"/>
          <w:sz w:val="24"/>
        </w:rPr>
        <w:t>咨询机构</w:t>
      </w:r>
      <w:r>
        <w:rPr>
          <w:rFonts w:ascii="Times New Roman" w:hAnsi="Times New Roman"/>
          <w:sz w:val="24"/>
        </w:rPr>
        <w:t>应</w:t>
      </w:r>
      <w:r>
        <w:rPr>
          <w:rFonts w:hint="eastAsia" w:ascii="Times New Roman" w:hAnsi="Times New Roman"/>
          <w:sz w:val="24"/>
        </w:rPr>
        <w:t>及时进行</w:t>
      </w:r>
      <w:r>
        <w:rPr>
          <w:rFonts w:ascii="Times New Roman" w:hAnsi="Times New Roman"/>
          <w:sz w:val="24"/>
        </w:rPr>
        <w:t>咨询服务资料的收集</w:t>
      </w:r>
      <w:r>
        <w:rPr>
          <w:rFonts w:hint="eastAsia" w:ascii="Times New Roman" w:hAnsi="Times New Roman"/>
          <w:sz w:val="24"/>
        </w:rPr>
        <w:t>、</w:t>
      </w:r>
      <w:r>
        <w:rPr>
          <w:rFonts w:ascii="Times New Roman" w:hAnsi="Times New Roman"/>
          <w:sz w:val="24"/>
        </w:rPr>
        <w:t>整理</w:t>
      </w:r>
      <w:r>
        <w:rPr>
          <w:rFonts w:hint="eastAsia" w:ascii="Times New Roman" w:hAnsi="Times New Roman"/>
          <w:sz w:val="24"/>
        </w:rPr>
        <w:t>和存档</w:t>
      </w:r>
      <w:r>
        <w:rPr>
          <w:rFonts w:ascii="Times New Roman" w:hAnsi="Times New Roman"/>
          <w:sz w:val="24"/>
        </w:rPr>
        <w:t>工作，</w:t>
      </w:r>
      <w:r>
        <w:rPr>
          <w:rFonts w:hint="eastAsia" w:ascii="Times New Roman" w:hAnsi="Times New Roman"/>
          <w:sz w:val="24"/>
        </w:rPr>
        <w:t>并在咨询服务工作结束后向工程监理企业和委托方分别移交一套完整资料</w:t>
      </w:r>
      <w:r>
        <w:rPr>
          <w:rFonts w:ascii="Times New Roman" w:hAnsi="Times New Roman"/>
          <w:sz w:val="24"/>
        </w:rPr>
        <w:t>。</w:t>
      </w:r>
    </w:p>
    <w:p w14:paraId="2BBB93AD">
      <w:pPr>
        <w:adjustRightInd w:val="0"/>
        <w:snapToGrid w:val="0"/>
        <w:spacing w:line="360" w:lineRule="auto"/>
        <w:ind w:left="420" w:leftChars="200"/>
        <w:outlineLvl w:val="1"/>
        <w:rPr>
          <w:b/>
          <w:bCs/>
          <w:sz w:val="28"/>
          <w:szCs w:val="32"/>
        </w:rPr>
      </w:pPr>
      <w:bookmarkStart w:id="7" w:name="_Toc190875408"/>
      <w:r>
        <w:rPr>
          <w:rFonts w:hint="eastAsia"/>
          <w:b/>
          <w:bCs/>
          <w:sz w:val="28"/>
          <w:szCs w:val="32"/>
        </w:rPr>
        <w:t>3</w:t>
      </w:r>
      <w:r>
        <w:rPr>
          <w:b/>
          <w:bCs/>
          <w:sz w:val="28"/>
          <w:szCs w:val="32"/>
        </w:rPr>
        <w:t xml:space="preserve">.2 </w:t>
      </w:r>
      <w:r>
        <w:rPr>
          <w:rFonts w:hint="eastAsia"/>
          <w:b/>
          <w:bCs/>
          <w:sz w:val="28"/>
          <w:szCs w:val="32"/>
        </w:rPr>
        <w:t>组织模式</w:t>
      </w:r>
      <w:bookmarkEnd w:id="7"/>
    </w:p>
    <w:p w14:paraId="552CAAAD">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3.2.1 工程咨询机构宜由工程咨询项目总负责人、专项咨询负责人、咨询工程师和咨询助理等组成，人员数量和专业配置应满足工作需要。工程监理企业应书面任命工程咨询项目总负责人，并明确相关授权。</w:t>
      </w:r>
    </w:p>
    <w:p w14:paraId="3A894D6B">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3.2.2 全过程工程咨询服务应实行工程咨询项目总负责人责任制。工程咨询项目总负责人应根据项目规模、项目特点、技术复杂程度、环境及服务内容等因素，选择直线式、职能式、直线职能式或矩阵式的工程咨询机构组织模式，也可根据需要进行混合式、创新性的工程咨询机构组织模式设计。</w:t>
      </w:r>
    </w:p>
    <w:p w14:paraId="5F010D02">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3.2.3 工程咨询项目总负责人应根据项目管理工作的需要，设立若干职能管理部门，协助项目总负责人履行具体的管理、协调职责。</w:t>
      </w:r>
    </w:p>
    <w:p w14:paraId="1F42A0B5">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3.2.4 工程咨询项目总负责人应根据选定的组织模式，确定部门设立、岗位设置、职责权限及人员配置，并在咨询工作开始前书面通知委托方。</w:t>
      </w:r>
    </w:p>
    <w:p w14:paraId="7BAA6D8C">
      <w:pPr>
        <w:tabs>
          <w:tab w:val="left" w:pos="993"/>
        </w:tabs>
        <w:adjustRightInd w:val="0"/>
        <w:snapToGrid w:val="0"/>
        <w:spacing w:line="360" w:lineRule="auto"/>
        <w:ind w:firstLine="480" w:firstLineChars="200"/>
      </w:pPr>
      <w:r>
        <w:rPr>
          <w:rFonts w:hint="eastAsia" w:ascii="Times New Roman" w:hAnsi="Times New Roman"/>
          <w:sz w:val="24"/>
          <w:szCs w:val="24"/>
          <w:lang w:bidi="zh-CN"/>
        </w:rPr>
        <w:t>3.2.5 全过程工程咨询服务完成或合同终止时，项目咨询机构应撤离项目服务现场和解散。</w:t>
      </w:r>
    </w:p>
    <w:p w14:paraId="38A6A83B">
      <w:pPr>
        <w:adjustRightInd w:val="0"/>
        <w:snapToGrid w:val="0"/>
        <w:spacing w:line="360" w:lineRule="auto"/>
        <w:ind w:left="420" w:leftChars="200"/>
        <w:outlineLvl w:val="1"/>
        <w:rPr>
          <w:b/>
          <w:bCs/>
          <w:sz w:val="28"/>
          <w:szCs w:val="32"/>
        </w:rPr>
      </w:pPr>
      <w:bookmarkStart w:id="8" w:name="_Toc190875409"/>
      <w:r>
        <w:rPr>
          <w:rFonts w:hint="eastAsia"/>
          <w:b/>
          <w:bCs/>
          <w:sz w:val="28"/>
          <w:szCs w:val="32"/>
        </w:rPr>
        <w:t>3</w:t>
      </w:r>
      <w:r>
        <w:rPr>
          <w:b/>
          <w:bCs/>
          <w:sz w:val="28"/>
          <w:szCs w:val="32"/>
        </w:rPr>
        <w:t xml:space="preserve">.3 </w:t>
      </w:r>
      <w:r>
        <w:rPr>
          <w:rFonts w:hint="eastAsia"/>
          <w:b/>
          <w:bCs/>
          <w:sz w:val="28"/>
          <w:szCs w:val="32"/>
        </w:rPr>
        <w:t>人员职责</w:t>
      </w:r>
      <w:bookmarkEnd w:id="8"/>
    </w:p>
    <w:p w14:paraId="6C90B4B3">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3.3.1工程咨询项目总负责人、专项咨询负责人、咨询工程师应具备法律法规规定的相应资格、能力和项目经验。工程咨询项目总负责人应当具有相应工程建设类注册执业资格且具有工程类或工程经济类高级职称。</w:t>
      </w:r>
    </w:p>
    <w:p w14:paraId="3EB17794">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3.3.2 工程咨询项目总负责人的主要职责应包括：</w:t>
      </w:r>
    </w:p>
    <w:p w14:paraId="39454D78">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签订并依据授权执行目标责任书，向工程监理企业汇报工作进展；</w:t>
      </w:r>
    </w:p>
    <w:p w14:paraId="32B9D33B">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组建项目咨询机构，负责团队管理与建设；</w:t>
      </w:r>
    </w:p>
    <w:p w14:paraId="4020046C">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组织编制全过程工程咨询总体策划大纲，审核专项咨询策划方案和实施细则，并按规定进行报批和交底；</w:t>
      </w:r>
    </w:p>
    <w:p w14:paraId="7C2AFE4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监督、检查各类策划文件的执行，针对发现的问题采取措施组织纠偏；</w:t>
      </w:r>
    </w:p>
    <w:p w14:paraId="2E2A4F4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负责主要干系人的沟通管理和工作界面协调，统筹各专项咨询工作；</w:t>
      </w:r>
    </w:p>
    <w:p w14:paraId="39A6D32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根据权限设置签发通知、函件、会议纪要、备忘录、专题建议等服务过程文件；</w:t>
      </w:r>
    </w:p>
    <w:p w14:paraId="4C5D426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7  审核咨询成果文件；</w:t>
      </w:r>
    </w:p>
    <w:p w14:paraId="61AA57E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8  组织项目资料管理和归档，负责咨询数字化应用和科技创新；</w:t>
      </w:r>
    </w:p>
    <w:p w14:paraId="2ED563EB">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9  组织开展项目收尾和咨询服务总结工作。</w:t>
      </w:r>
    </w:p>
    <w:p w14:paraId="108D6AF9">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3.3.3 专项咨询负责人的主要职责应包括：</w:t>
      </w:r>
    </w:p>
    <w:p w14:paraId="6F02710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参与编制全过程工程咨询总体策划大纲；</w:t>
      </w:r>
    </w:p>
    <w:p w14:paraId="3E28B8F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负责编制专项咨询策划方案和实施细则，并按规定进行报批和交底；</w:t>
      </w:r>
    </w:p>
    <w:p w14:paraId="0DBC58B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负责专项咨询策划文件的执行和纠偏；</w:t>
      </w:r>
    </w:p>
    <w:p w14:paraId="4FD143EE">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负责专项咨询涉及的干系人沟通管理和工作界面协调，协助工程咨询项目总负责人的统筹管理工作；</w:t>
      </w:r>
    </w:p>
    <w:p w14:paraId="7866278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根据权限设置签发专项咨询相关的通知、函件、会议纪要、备忘录、专题建议等服务过程文件；</w:t>
      </w:r>
    </w:p>
    <w:p w14:paraId="4C1C833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组织编制专项咨询成果文件；</w:t>
      </w:r>
    </w:p>
    <w:p w14:paraId="036026A0">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7  组织专项咨询的项目资料管理和归档，以及相应数智化应用和科技创新；</w:t>
      </w:r>
    </w:p>
    <w:p w14:paraId="1AB66CB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8  参与项目收尾和咨询服务总结工作；</w:t>
      </w:r>
    </w:p>
    <w:p w14:paraId="7801A0AC">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9  完成工程咨询项目总负责人安排的其他工作。</w:t>
      </w:r>
    </w:p>
    <w:p w14:paraId="0331FF5A">
      <w:pPr>
        <w:tabs>
          <w:tab w:val="left" w:pos="993"/>
        </w:tabs>
        <w:adjustRightInd w:val="0"/>
        <w:snapToGrid w:val="0"/>
        <w:spacing w:line="360" w:lineRule="auto"/>
        <w:ind w:firstLine="240" w:firstLineChars="100"/>
        <w:rPr>
          <w:rFonts w:ascii="Times New Roman" w:hAnsi="Times New Roman"/>
          <w:sz w:val="24"/>
          <w:szCs w:val="24"/>
          <w:lang w:bidi="zh-CN"/>
        </w:rPr>
      </w:pPr>
      <w:r>
        <w:rPr>
          <w:rFonts w:hint="eastAsia" w:ascii="Times New Roman" w:hAnsi="Times New Roman"/>
          <w:sz w:val="24"/>
          <w:szCs w:val="24"/>
          <w:lang w:bidi="zh-CN"/>
        </w:rPr>
        <w:t>3.3.4 咨询工程师的主要职责应包括：</w:t>
      </w:r>
    </w:p>
    <w:p w14:paraId="301DE03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参与编制专项咨询策划方案和实施细则，并具体执行本专业范围的内容；</w:t>
      </w:r>
    </w:p>
    <w:p w14:paraId="052F3A2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负责编制咨询方案、管理制度、周月报、工作总结、专项咨询成果等咨询文件中与本专业相关的内容；</w:t>
      </w:r>
    </w:p>
    <w:p w14:paraId="7FD6E665">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根据权限设置编制或参与编制专项咨询相关的通知、函件、会议纪要、备忘录、专题建议等服务过程文件；</w:t>
      </w:r>
    </w:p>
    <w:p w14:paraId="7251B70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审核参建各方报送的本专业工程文件，提出处理意见和建议，报专项咨询负责人审核；</w:t>
      </w:r>
    </w:p>
    <w:p w14:paraId="43E7C855">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跟踪检查专业问题整改情况，实施动态控制；</w:t>
      </w:r>
    </w:p>
    <w:p w14:paraId="2DFD4CA8">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负责本专业项目咨询资料管理和归档，以及参与相应数智化应用和科技创新；</w:t>
      </w:r>
    </w:p>
    <w:p w14:paraId="69729275">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7  参与项目收尾和咨询服务总结工作；</w:t>
      </w:r>
    </w:p>
    <w:p w14:paraId="6B69930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8  完成专业咨询负责人安排的其他工作。</w:t>
      </w:r>
    </w:p>
    <w:p w14:paraId="4C397AE8">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3.3.5 咨询助理的主要职责应包括：</w:t>
      </w:r>
    </w:p>
    <w:p w14:paraId="542D05B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参与编制专项咨询策划方案和实施细则，并协助咨询工程师具体执行本专业范围的内容；</w:t>
      </w:r>
    </w:p>
    <w:p w14:paraId="5E4081B0">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参与编制咨询方案、管理制度、周月报、工作总结、专项咨询成果等咨询文件中与本专业相关的内容；</w:t>
      </w:r>
    </w:p>
    <w:p w14:paraId="6BBC18B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负责项目目标控制信息收集、影像资料采集和项目大事记记录；</w:t>
      </w:r>
    </w:p>
    <w:p w14:paraId="2A0D5E9B">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协助组织并参加相关会议；</w:t>
      </w:r>
    </w:p>
    <w:p w14:paraId="5DF31B4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协助咨询工程师完成本专业项目咨询资料管理和归档，以及相应数智化应用和科技创新；</w:t>
      </w:r>
    </w:p>
    <w:p w14:paraId="526A4AC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参与项目收尾和咨询服务总结工作；</w:t>
      </w:r>
    </w:p>
    <w:p w14:paraId="52C2D7C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7  协助咨询工程师开展其他相关工作。</w:t>
      </w:r>
    </w:p>
    <w:p w14:paraId="5962FCBC">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3.3.6 项目咨询机构成员应遵守科学专业、公正守法、客户至上的职业道德准则，对工作成果和提供资料的准确性、专业性负责。</w:t>
      </w:r>
    </w:p>
    <w:p w14:paraId="1F6D2BBD">
      <w:pPr>
        <w:pStyle w:val="2"/>
        <w:rPr>
          <w:rFonts w:hint="eastAsia"/>
          <w:lang w:val="en-US"/>
        </w:rPr>
      </w:pPr>
    </w:p>
    <w:p w14:paraId="46E362F0">
      <w:pPr>
        <w:pStyle w:val="39"/>
        <w:numPr>
          <w:ilvl w:val="2"/>
          <w:numId w:val="2"/>
        </w:numPr>
        <w:tabs>
          <w:tab w:val="left" w:pos="993"/>
        </w:tabs>
        <w:adjustRightInd w:val="0"/>
        <w:snapToGrid w:val="0"/>
        <w:spacing w:line="360" w:lineRule="auto"/>
        <w:ind w:left="0" w:firstLine="426"/>
        <w:rPr>
          <w:rFonts w:ascii="Times New Roman" w:hAnsi="Times New Roman"/>
          <w:sz w:val="24"/>
          <w:szCs w:val="24"/>
          <w:lang w:bidi="zh-CN"/>
        </w:rPr>
        <w:sectPr>
          <w:pgSz w:w="11906" w:h="16838"/>
          <w:pgMar w:top="1440" w:right="1800" w:bottom="1440" w:left="1800" w:header="851" w:footer="992" w:gutter="0"/>
          <w:cols w:space="425" w:num="1"/>
          <w:docGrid w:type="lines" w:linePitch="312" w:charSpace="0"/>
        </w:sectPr>
      </w:pPr>
    </w:p>
    <w:p w14:paraId="17ECA027">
      <w:pPr>
        <w:adjustRightInd w:val="0"/>
        <w:snapToGrid w:val="0"/>
        <w:spacing w:line="360" w:lineRule="auto"/>
        <w:outlineLvl w:val="0"/>
        <w:rPr>
          <w:b/>
          <w:bCs/>
          <w:sz w:val="28"/>
          <w:szCs w:val="32"/>
        </w:rPr>
      </w:pPr>
      <w:bookmarkStart w:id="9" w:name="_Toc190875410"/>
      <w:r>
        <w:rPr>
          <w:rFonts w:hint="eastAsia"/>
          <w:b/>
          <w:bCs/>
          <w:sz w:val="28"/>
          <w:szCs w:val="32"/>
        </w:rPr>
        <w:t>4</w:t>
      </w:r>
      <w:r>
        <w:rPr>
          <w:b/>
          <w:bCs/>
          <w:sz w:val="28"/>
          <w:szCs w:val="32"/>
        </w:rPr>
        <w:t xml:space="preserve"> </w:t>
      </w:r>
      <w:r>
        <w:rPr>
          <w:rFonts w:hint="eastAsia"/>
          <w:b/>
          <w:bCs/>
          <w:sz w:val="28"/>
          <w:szCs w:val="32"/>
        </w:rPr>
        <w:t>投资决策综合性咨询</w:t>
      </w:r>
      <w:bookmarkEnd w:id="9"/>
    </w:p>
    <w:p w14:paraId="32CBF724">
      <w:pPr>
        <w:adjustRightInd w:val="0"/>
        <w:snapToGrid w:val="0"/>
        <w:spacing w:line="360" w:lineRule="auto"/>
        <w:ind w:left="420" w:leftChars="200"/>
        <w:outlineLvl w:val="1"/>
        <w:rPr>
          <w:b/>
          <w:bCs/>
          <w:sz w:val="28"/>
          <w:szCs w:val="32"/>
        </w:rPr>
      </w:pPr>
      <w:bookmarkStart w:id="10" w:name="_Toc190875411"/>
      <w:bookmarkStart w:id="11" w:name="_Toc852408765"/>
      <w:bookmarkStart w:id="12" w:name="_Toc690529304"/>
      <w:bookmarkStart w:id="13" w:name="_Toc48772471"/>
      <w:r>
        <w:rPr>
          <w:rFonts w:hint="eastAsia"/>
          <w:b/>
          <w:bCs/>
          <w:sz w:val="28"/>
          <w:szCs w:val="32"/>
        </w:rPr>
        <w:t>4.1 一般规定</w:t>
      </w:r>
      <w:bookmarkEnd w:id="10"/>
    </w:p>
    <w:p w14:paraId="55D4FBB7">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4.1.1 工程咨询机构应在投资决策环节，就投资项目的市场、技术、经济、生态环境、能源、资源、安全等影响可行性的要素，结合国家、地区、行业发展规划及相关重大专项建设规划、产业政策、技术标准及相关审批要求，为委托方提供综合性、一体化的投资决策综合性咨询服务。</w:t>
      </w:r>
    </w:p>
    <w:p w14:paraId="7FCC87AB">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4.1.2 工程咨询机构应将可行性研究作为投资决策综合性咨询服务的核心内容，围绕建设必要性、方案可行性及风险可控性三大目标开展系统、专业、深入论证，为投资决策、建设实施、运营提供支撑和依据。</w:t>
      </w:r>
    </w:p>
    <w:p w14:paraId="354657A2">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4.1.3 除本章所述内容外，根据法律法规及项目实际情况，投资决策综合性咨询可涉及其他影响投资决策的咨询内容，如可再生能源利用、土地资源利用、抗震专项论证等。</w:t>
      </w:r>
    </w:p>
    <w:p w14:paraId="3A94BA6B">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4.1.4 工程咨询机构应按照投资管理权限和规定的程序，协助委托方完成投资决策阶段各项审批、核准或备案事项，除涉及国家秘密的项目外，应按照规定要求通过投资项目在线审批监管平台生成的项目代码进行申报。</w:t>
      </w:r>
    </w:p>
    <w:p w14:paraId="3C0D17E8">
      <w:pPr>
        <w:adjustRightInd w:val="0"/>
        <w:snapToGrid w:val="0"/>
        <w:spacing w:line="360" w:lineRule="auto"/>
        <w:ind w:left="420" w:leftChars="200"/>
        <w:outlineLvl w:val="1"/>
        <w:rPr>
          <w:b/>
          <w:bCs/>
          <w:sz w:val="28"/>
          <w:szCs w:val="32"/>
        </w:rPr>
      </w:pPr>
      <w:bookmarkStart w:id="14" w:name="_Toc190875412"/>
      <w:r>
        <w:rPr>
          <w:rFonts w:hint="eastAsia"/>
          <w:b/>
          <w:bCs/>
          <w:sz w:val="28"/>
          <w:szCs w:val="32"/>
        </w:rPr>
        <w:t>4.2 可行性研究</w:t>
      </w:r>
      <w:bookmarkEnd w:id="14"/>
    </w:p>
    <w:p w14:paraId="408A6B7C">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4.2.1 工程监理企业可为委托方提供可行性研究，成果形式为投资机会研究报告、项目建议书、可行性研究报告、项目申请报告或资金申请报告等。</w:t>
      </w:r>
    </w:p>
    <w:p w14:paraId="4790355F">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4.2.2 工程咨询机构应根据委托方的委托，开展一般投资机会研究或特定项目投资机会研究。一般投资机会研究可分为地区机会研究、行业机会研究等。特定项目投资机会研究通过对潜在项目所在地规划、产业政策、投资条件、市场状况等方面的分析寻找投资机会，论证投资建设的必要性。</w:t>
      </w:r>
    </w:p>
    <w:p w14:paraId="60BE2CFD">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4.2.3 项目建议书应主要论证项目建设的必要性，并对主要建设内容、拟建地点、拟建规模、投资匡算、资金筹措以及社会效益和经济效益等进行初步分析，并附相关文件资料。</w:t>
      </w:r>
    </w:p>
    <w:p w14:paraId="397DAAB4">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4.2.4 可行性研究报告应从建设必要性、要素保障性、工程可行性、运营有效性、财务合理性、影响可持续性、风险可控性等维度分别简述项目可行性研究结论，重点归纳总结拟推荐方案的项目市场需求、建设内容和规模、运营方案、投融资和财务效益，并评价项目各方面的效果和风险，提出项目是否可行的研究结论。</w:t>
      </w:r>
    </w:p>
    <w:p w14:paraId="1E51750B">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4.2.5 项目申请报告在项目可行性和合理性的研究和论证基础上，应主要分析项目外部性、公共性影响，重点针对规划和政策符合性、资源环境和节能、用地和征地拆迁、经济和社会影响等方面深入分析，并附相关文件资料。</w:t>
      </w:r>
    </w:p>
    <w:p w14:paraId="50A13A6F">
      <w:pPr>
        <w:tabs>
          <w:tab w:val="left" w:pos="993"/>
        </w:tabs>
        <w:adjustRightInd w:val="0"/>
        <w:snapToGrid w:val="0"/>
        <w:spacing w:line="360" w:lineRule="auto"/>
        <w:ind w:firstLine="480" w:firstLineChars="200"/>
        <w:rPr>
          <w:rFonts w:ascii="Times New Roman" w:hAnsi="Times New Roman"/>
          <w:sz w:val="24"/>
          <w:szCs w:val="24"/>
          <w:lang w:bidi="zh-CN"/>
        </w:rPr>
      </w:pPr>
      <w:r>
        <w:rPr>
          <w:rFonts w:hint="eastAsia" w:ascii="Times New Roman" w:hAnsi="Times New Roman"/>
          <w:sz w:val="24"/>
          <w:szCs w:val="24"/>
          <w:lang w:bidi="zh-CN"/>
        </w:rPr>
        <w:t>4.2.6 资金申请报告应基于项目建设方案，主要阐述资金申请的必要性和合理性，重点就建设条件落实情况，项目列入三年滚动投资计划并通过在线平台完成审批（核准、备案）情况，以及申请投资补助或者贴息资金的主要理由和政策依据等方面进行深入分析，并附相关文件资料。</w:t>
      </w:r>
    </w:p>
    <w:p w14:paraId="544B925C">
      <w:pPr>
        <w:adjustRightInd w:val="0"/>
        <w:snapToGrid w:val="0"/>
        <w:spacing w:line="360" w:lineRule="auto"/>
        <w:ind w:left="420" w:leftChars="200"/>
        <w:outlineLvl w:val="1"/>
        <w:rPr>
          <w:b/>
          <w:bCs/>
          <w:sz w:val="28"/>
          <w:szCs w:val="32"/>
        </w:rPr>
      </w:pPr>
      <w:bookmarkStart w:id="15" w:name="_Toc190875413"/>
      <w:r>
        <w:rPr>
          <w:rFonts w:hint="eastAsia"/>
          <w:b/>
          <w:bCs/>
          <w:sz w:val="28"/>
          <w:szCs w:val="32"/>
        </w:rPr>
        <w:t>4.3 建设项目用地与选址论证</w:t>
      </w:r>
      <w:bookmarkEnd w:id="15"/>
    </w:p>
    <w:p w14:paraId="723AABAF">
      <w:pPr>
        <w:overflowPunct w:val="0"/>
        <w:spacing w:line="360" w:lineRule="auto"/>
        <w:ind w:firstLine="480" w:firstLineChars="200"/>
        <w:rPr>
          <w:rFonts w:ascii="Times New Roman" w:hAnsi="Times New Roman"/>
          <w:sz w:val="24"/>
        </w:rPr>
      </w:pPr>
      <w:r>
        <w:rPr>
          <w:rFonts w:hint="eastAsia" w:ascii="Times New Roman" w:hAnsi="Times New Roman"/>
          <w:sz w:val="24"/>
        </w:rPr>
        <w:t>4.3</w:t>
      </w:r>
      <w:r>
        <w:rPr>
          <w:rFonts w:ascii="Times New Roman" w:hAnsi="Times New Roman"/>
          <w:sz w:val="24"/>
        </w:rPr>
        <w:t xml:space="preserve">.1 </w:t>
      </w:r>
      <w:r>
        <w:rPr>
          <w:rFonts w:hint="eastAsia" w:ascii="Times New Roman" w:hAnsi="Times New Roman"/>
          <w:sz w:val="24"/>
        </w:rPr>
        <w:t>工程咨询机构应依据土地管理等相关法律法规，全面掌握国家供地政策、项目所在地的土地利用规划、土地使用标准、拟选地点状况等，在可行性研究阶段开展用地和选址论证。</w:t>
      </w:r>
    </w:p>
    <w:p w14:paraId="4FD957BA">
      <w:pPr>
        <w:overflowPunct w:val="0"/>
        <w:spacing w:line="360" w:lineRule="auto"/>
        <w:ind w:firstLine="480" w:firstLineChars="200"/>
        <w:rPr>
          <w:rFonts w:ascii="Times New Roman" w:hAnsi="Times New Roman"/>
          <w:sz w:val="24"/>
        </w:rPr>
      </w:pPr>
      <w:r>
        <w:rPr>
          <w:rFonts w:hint="eastAsia" w:ascii="Times New Roman" w:hAnsi="Times New Roman"/>
          <w:sz w:val="24"/>
        </w:rPr>
        <w:t>4.3</w:t>
      </w:r>
      <w:r>
        <w:rPr>
          <w:rFonts w:ascii="Times New Roman" w:hAnsi="Times New Roman"/>
          <w:sz w:val="24"/>
        </w:rPr>
        <w:t xml:space="preserve">.2 </w:t>
      </w:r>
      <w:r>
        <w:rPr>
          <w:rFonts w:hint="eastAsia" w:ascii="Times New Roman" w:hAnsi="Times New Roman"/>
          <w:sz w:val="24"/>
        </w:rPr>
        <w:t>建设项目用地与选址论证宜综合考虑规划、技术、经济和社会等条件进行多方案比选，明确拟建项目场址或线路的土地权属、供地方式、土地利用状况、矿产压覆、占用耕地和永久基本农田、涉及生态保护红线、地质灾害危险性评估等情况。</w:t>
      </w:r>
    </w:p>
    <w:p w14:paraId="60075DD9">
      <w:pPr>
        <w:overflowPunct w:val="0"/>
        <w:spacing w:line="360" w:lineRule="auto"/>
        <w:ind w:firstLine="480" w:firstLineChars="200"/>
        <w:rPr>
          <w:rFonts w:ascii="Times New Roman" w:hAnsi="Times New Roman"/>
          <w:sz w:val="24"/>
        </w:rPr>
      </w:pPr>
      <w:r>
        <w:rPr>
          <w:rFonts w:hint="eastAsia" w:ascii="Times New Roman" w:hAnsi="Times New Roman"/>
          <w:sz w:val="24"/>
        </w:rPr>
        <w:t>4.3</w:t>
      </w:r>
      <w:r>
        <w:rPr>
          <w:rFonts w:ascii="Times New Roman" w:hAnsi="Times New Roman"/>
          <w:sz w:val="24"/>
        </w:rPr>
        <w:t xml:space="preserve">.3 </w:t>
      </w:r>
      <w:r>
        <w:rPr>
          <w:rFonts w:hint="eastAsia" w:ascii="Times New Roman" w:hAnsi="Times New Roman"/>
          <w:sz w:val="24"/>
        </w:rPr>
        <w:t>建设项目用地与选址论证主要内容应包括项目的基本情况、选址占地情况、用地是否符合土地利用总体规划、用地面积是否符合土地使用标准、用地是否符合供地政策等。</w:t>
      </w:r>
    </w:p>
    <w:p w14:paraId="15A84186">
      <w:pPr>
        <w:overflowPunct w:val="0"/>
        <w:spacing w:line="360" w:lineRule="auto"/>
        <w:ind w:firstLine="480" w:firstLineChars="200"/>
        <w:rPr>
          <w:rFonts w:ascii="Times New Roman" w:hAnsi="Times New Roman"/>
          <w:sz w:val="24"/>
        </w:rPr>
      </w:pPr>
      <w:r>
        <w:rPr>
          <w:rFonts w:hint="eastAsia" w:ascii="Times New Roman" w:hAnsi="Times New Roman"/>
          <w:sz w:val="24"/>
        </w:rPr>
        <w:t>4.3</w:t>
      </w:r>
      <w:r>
        <w:rPr>
          <w:rFonts w:ascii="Times New Roman" w:hAnsi="Times New Roman"/>
          <w:sz w:val="24"/>
        </w:rPr>
        <w:t xml:space="preserve">.4 </w:t>
      </w:r>
      <w:r>
        <w:rPr>
          <w:rFonts w:hint="eastAsia" w:ascii="Times New Roman" w:hAnsi="Times New Roman"/>
          <w:sz w:val="24"/>
        </w:rPr>
        <w:t>工程咨询机构应根据建设项目用地与选址论证结论，形成建设项目用地预审和选址意见书的申报材料，协助委托方向有审批权限的自然资源主管部门报批。</w:t>
      </w:r>
    </w:p>
    <w:p w14:paraId="786FFDBD">
      <w:pPr>
        <w:adjustRightInd w:val="0"/>
        <w:snapToGrid w:val="0"/>
        <w:spacing w:line="360" w:lineRule="auto"/>
        <w:ind w:left="420" w:leftChars="200"/>
        <w:outlineLvl w:val="1"/>
        <w:rPr>
          <w:b/>
          <w:bCs/>
          <w:sz w:val="28"/>
          <w:szCs w:val="32"/>
        </w:rPr>
      </w:pPr>
      <w:bookmarkStart w:id="16" w:name="_Toc190875414"/>
      <w:r>
        <w:rPr>
          <w:rFonts w:hint="eastAsia"/>
          <w:b/>
          <w:bCs/>
          <w:sz w:val="28"/>
          <w:szCs w:val="32"/>
        </w:rPr>
        <w:t>4.4 建设项目环境影响评价</w:t>
      </w:r>
      <w:bookmarkEnd w:id="16"/>
    </w:p>
    <w:p w14:paraId="7B663DBB">
      <w:pPr>
        <w:overflowPunct w:val="0"/>
        <w:spacing w:line="360" w:lineRule="auto"/>
        <w:ind w:firstLine="480" w:firstLineChars="200"/>
        <w:rPr>
          <w:rFonts w:ascii="Times New Roman" w:hAnsi="Times New Roman"/>
          <w:sz w:val="24"/>
        </w:rPr>
      </w:pPr>
      <w:r>
        <w:rPr>
          <w:rFonts w:hint="eastAsia" w:ascii="Times New Roman" w:hAnsi="Times New Roman"/>
          <w:sz w:val="24"/>
        </w:rPr>
        <w:t>4.4</w:t>
      </w:r>
      <w:r>
        <w:rPr>
          <w:rFonts w:ascii="Times New Roman" w:hAnsi="Times New Roman"/>
          <w:sz w:val="24"/>
        </w:rPr>
        <w:t xml:space="preserve">.1 </w:t>
      </w:r>
      <w:r>
        <w:rPr>
          <w:rFonts w:hint="eastAsia" w:ascii="Times New Roman" w:hAnsi="Times New Roman"/>
          <w:sz w:val="24"/>
        </w:rPr>
        <w:t>工程咨询机构应依据环境保护等相关法律法规的规定，全面掌握有关环境影响评价标准和技术规范等，开展建设项目环境影响评价。</w:t>
      </w:r>
    </w:p>
    <w:p w14:paraId="1C5B3BBA">
      <w:pPr>
        <w:overflowPunct w:val="0"/>
        <w:spacing w:line="360" w:lineRule="auto"/>
        <w:ind w:firstLine="480" w:firstLineChars="200"/>
        <w:rPr>
          <w:rFonts w:ascii="Times New Roman" w:hAnsi="Times New Roman"/>
          <w:sz w:val="24"/>
        </w:rPr>
      </w:pPr>
      <w:r>
        <w:rPr>
          <w:rFonts w:hint="eastAsia" w:ascii="Times New Roman" w:hAnsi="Times New Roman"/>
          <w:sz w:val="24"/>
        </w:rPr>
        <w:t>4.4</w:t>
      </w:r>
      <w:r>
        <w:rPr>
          <w:rFonts w:ascii="Times New Roman" w:hAnsi="Times New Roman"/>
          <w:sz w:val="24"/>
        </w:rPr>
        <w:t xml:space="preserve">.2 </w:t>
      </w:r>
      <w:r>
        <w:rPr>
          <w:rFonts w:hint="eastAsia" w:ascii="Times New Roman" w:hAnsi="Times New Roman"/>
          <w:sz w:val="24"/>
        </w:rPr>
        <w:t>建设项目环境影响评价主要内容应包括项目概况、项目周围环境现状、项目对环境可能造成影响的分析、预测和评估，项目环境保护措施及其技术、经济论证，项目对环境影响的经济损益分析、对项目实施环境监测的建议、环境影响评价的结论等。</w:t>
      </w:r>
    </w:p>
    <w:p w14:paraId="730F0DBB">
      <w:pPr>
        <w:overflowPunct w:val="0"/>
        <w:spacing w:line="360" w:lineRule="auto"/>
        <w:ind w:firstLine="480" w:firstLineChars="200"/>
        <w:rPr>
          <w:rFonts w:ascii="Times New Roman" w:hAnsi="Times New Roman"/>
          <w:sz w:val="24"/>
        </w:rPr>
      </w:pPr>
      <w:r>
        <w:rPr>
          <w:rFonts w:hint="eastAsia" w:ascii="Times New Roman" w:hAnsi="Times New Roman"/>
          <w:sz w:val="24"/>
        </w:rPr>
        <w:t>4.4</w:t>
      </w:r>
      <w:r>
        <w:rPr>
          <w:rFonts w:ascii="Times New Roman" w:hAnsi="Times New Roman"/>
          <w:sz w:val="24"/>
        </w:rPr>
        <w:t xml:space="preserve">.3 </w:t>
      </w:r>
      <w:r>
        <w:rPr>
          <w:rFonts w:hint="eastAsia" w:ascii="Times New Roman" w:hAnsi="Times New Roman"/>
          <w:sz w:val="24"/>
        </w:rPr>
        <w:t>工程咨询机构应根据项目对环境的影响程度不同，编制环境影响报告书、环境影响报告表或填报环境影响登记表。</w:t>
      </w:r>
    </w:p>
    <w:p w14:paraId="238EC3DC">
      <w:pPr>
        <w:overflowPunct w:val="0"/>
        <w:spacing w:line="360" w:lineRule="auto"/>
        <w:ind w:firstLine="480" w:firstLineChars="200"/>
        <w:rPr>
          <w:rFonts w:ascii="Times New Roman" w:hAnsi="Times New Roman"/>
          <w:sz w:val="24"/>
        </w:rPr>
      </w:pPr>
      <w:r>
        <w:rPr>
          <w:rFonts w:hint="eastAsia" w:ascii="Times New Roman" w:hAnsi="Times New Roman"/>
          <w:sz w:val="24"/>
        </w:rPr>
        <w:t>4.4</w:t>
      </w:r>
      <w:r>
        <w:rPr>
          <w:rFonts w:ascii="Times New Roman" w:hAnsi="Times New Roman"/>
          <w:sz w:val="24"/>
        </w:rPr>
        <w:t xml:space="preserve">.4 </w:t>
      </w:r>
      <w:r>
        <w:rPr>
          <w:rFonts w:hint="eastAsia" w:ascii="Times New Roman" w:hAnsi="Times New Roman"/>
          <w:sz w:val="24"/>
        </w:rPr>
        <w:t>工程咨询机构应根据建设项目环境影响评价结论，协助委托方向有权限的生态环境主管部门报批。</w:t>
      </w:r>
    </w:p>
    <w:p w14:paraId="36FC8B64">
      <w:pPr>
        <w:adjustRightInd w:val="0"/>
        <w:snapToGrid w:val="0"/>
        <w:spacing w:line="360" w:lineRule="auto"/>
        <w:ind w:left="420" w:leftChars="200"/>
        <w:outlineLvl w:val="1"/>
        <w:rPr>
          <w:b/>
          <w:bCs/>
          <w:sz w:val="28"/>
          <w:szCs w:val="32"/>
        </w:rPr>
      </w:pPr>
      <w:bookmarkStart w:id="17" w:name="_Toc190875415"/>
      <w:r>
        <w:rPr>
          <w:rFonts w:hint="eastAsia"/>
          <w:b/>
          <w:bCs/>
          <w:sz w:val="28"/>
          <w:szCs w:val="32"/>
        </w:rPr>
        <w:t>4.5 社会风险评估</w:t>
      </w:r>
      <w:bookmarkEnd w:id="17"/>
    </w:p>
    <w:p w14:paraId="117C4536">
      <w:pPr>
        <w:overflowPunct w:val="0"/>
        <w:spacing w:line="360" w:lineRule="auto"/>
        <w:ind w:firstLine="480" w:firstLineChars="200"/>
        <w:rPr>
          <w:rFonts w:ascii="Times New Roman" w:hAnsi="Times New Roman"/>
          <w:sz w:val="24"/>
        </w:rPr>
      </w:pPr>
      <w:r>
        <w:rPr>
          <w:rFonts w:hint="eastAsia" w:ascii="Times New Roman" w:hAnsi="Times New Roman"/>
          <w:sz w:val="24"/>
        </w:rPr>
        <w:t>4.5</w:t>
      </w:r>
      <w:r>
        <w:rPr>
          <w:rFonts w:ascii="Times New Roman" w:hAnsi="Times New Roman"/>
          <w:sz w:val="24"/>
        </w:rPr>
        <w:t xml:space="preserve">.1 </w:t>
      </w:r>
      <w:r>
        <w:rPr>
          <w:rFonts w:hint="eastAsia" w:ascii="Times New Roman" w:hAnsi="Times New Roman"/>
          <w:sz w:val="24"/>
        </w:rPr>
        <w:t>工程咨询机构应依据重大固定资产投资项目社会稳定风险评估暂行办法等相关法规的规定，开展社会风险评估。</w:t>
      </w:r>
    </w:p>
    <w:p w14:paraId="6777DFD6">
      <w:pPr>
        <w:overflowPunct w:val="0"/>
        <w:spacing w:line="360" w:lineRule="auto"/>
        <w:ind w:firstLine="480" w:firstLineChars="200"/>
        <w:rPr>
          <w:rFonts w:ascii="Times New Roman" w:hAnsi="Times New Roman"/>
          <w:sz w:val="24"/>
        </w:rPr>
      </w:pPr>
      <w:r>
        <w:rPr>
          <w:rFonts w:hint="eastAsia" w:ascii="Times New Roman" w:hAnsi="Times New Roman"/>
          <w:sz w:val="24"/>
        </w:rPr>
        <w:t>4.5</w:t>
      </w:r>
      <w:r>
        <w:rPr>
          <w:rFonts w:ascii="Times New Roman" w:hAnsi="Times New Roman"/>
          <w:sz w:val="24"/>
        </w:rPr>
        <w:t xml:space="preserve">.2 </w:t>
      </w:r>
      <w:r>
        <w:rPr>
          <w:rFonts w:hint="eastAsia" w:ascii="Times New Roman" w:hAnsi="Times New Roman"/>
          <w:sz w:val="24"/>
        </w:rPr>
        <w:t>社会风险评估主要内容应包括项目概况、社会风险调查分析、相关群众意见、风险点、风险发生的可能性及影响程度、防范和化解风险的方案措施、提出采取相关措施后的社会风险等级建议等。</w:t>
      </w:r>
    </w:p>
    <w:p w14:paraId="7CD30FEC">
      <w:pPr>
        <w:spacing w:line="360" w:lineRule="auto"/>
        <w:ind w:firstLine="480" w:firstLineChars="200"/>
      </w:pPr>
      <w:r>
        <w:rPr>
          <w:rFonts w:hint="eastAsia" w:ascii="Times New Roman" w:hAnsi="Times New Roman"/>
          <w:sz w:val="24"/>
        </w:rPr>
        <w:t>4.5</w:t>
      </w:r>
      <w:r>
        <w:rPr>
          <w:rFonts w:ascii="Times New Roman" w:hAnsi="Times New Roman"/>
          <w:sz w:val="24"/>
        </w:rPr>
        <w:t xml:space="preserve">.3 </w:t>
      </w:r>
      <w:r>
        <w:rPr>
          <w:rFonts w:hint="eastAsia" w:ascii="Times New Roman" w:hAnsi="Times New Roman"/>
          <w:sz w:val="24"/>
        </w:rPr>
        <w:t>工程咨询机构应根据社会风险评估结论，协助委托方向有权限的行政主管部门报批。</w:t>
      </w:r>
    </w:p>
    <w:p w14:paraId="4816C240">
      <w:pPr>
        <w:adjustRightInd w:val="0"/>
        <w:snapToGrid w:val="0"/>
        <w:spacing w:line="360" w:lineRule="auto"/>
        <w:ind w:left="420" w:leftChars="200"/>
        <w:outlineLvl w:val="1"/>
        <w:rPr>
          <w:b/>
          <w:bCs/>
          <w:sz w:val="28"/>
          <w:szCs w:val="32"/>
        </w:rPr>
      </w:pPr>
      <w:bookmarkStart w:id="18" w:name="_Toc190875416"/>
      <w:r>
        <w:rPr>
          <w:rFonts w:hint="eastAsia"/>
          <w:b/>
          <w:bCs/>
          <w:sz w:val="28"/>
          <w:szCs w:val="32"/>
        </w:rPr>
        <w:t>4.6 建设项目压覆重要矿产资源评估</w:t>
      </w:r>
      <w:bookmarkEnd w:id="18"/>
    </w:p>
    <w:p w14:paraId="2C26F249">
      <w:pPr>
        <w:overflowPunct w:val="0"/>
        <w:spacing w:line="360" w:lineRule="auto"/>
        <w:ind w:firstLine="480" w:firstLineChars="200"/>
        <w:rPr>
          <w:rFonts w:ascii="Times New Roman" w:hAnsi="Times New Roman"/>
          <w:sz w:val="24"/>
        </w:rPr>
      </w:pPr>
      <w:r>
        <w:rPr>
          <w:rFonts w:hint="eastAsia" w:ascii="Times New Roman" w:hAnsi="Times New Roman"/>
          <w:sz w:val="24"/>
        </w:rPr>
        <w:t>4.6</w:t>
      </w:r>
      <w:r>
        <w:rPr>
          <w:rFonts w:ascii="Times New Roman" w:hAnsi="Times New Roman"/>
          <w:sz w:val="24"/>
        </w:rPr>
        <w:t xml:space="preserve">.1 </w:t>
      </w:r>
      <w:r>
        <w:rPr>
          <w:rFonts w:hint="eastAsia" w:ascii="Times New Roman" w:hAnsi="Times New Roman"/>
          <w:sz w:val="24"/>
        </w:rPr>
        <w:t>工程咨询机构应依据矿产资源等相关法律法规的规定，全面掌握建设项目所在地的矿产资源规划、矿产资源分布、矿业权设置情况等，按规定开展建设项目压覆重要矿产资源评估。</w:t>
      </w:r>
    </w:p>
    <w:p w14:paraId="6D29969C">
      <w:pPr>
        <w:overflowPunct w:val="0"/>
        <w:spacing w:line="360" w:lineRule="auto"/>
        <w:ind w:firstLine="480" w:firstLineChars="200"/>
        <w:rPr>
          <w:rFonts w:ascii="Times New Roman" w:hAnsi="Times New Roman"/>
          <w:sz w:val="24"/>
        </w:rPr>
      </w:pPr>
      <w:r>
        <w:rPr>
          <w:rFonts w:hint="eastAsia" w:ascii="Times New Roman" w:hAnsi="Times New Roman"/>
          <w:sz w:val="24"/>
        </w:rPr>
        <w:t>4.6</w:t>
      </w:r>
      <w:r>
        <w:rPr>
          <w:rFonts w:ascii="Times New Roman" w:hAnsi="Times New Roman"/>
          <w:sz w:val="24"/>
        </w:rPr>
        <w:t xml:space="preserve">.2 </w:t>
      </w:r>
      <w:r>
        <w:rPr>
          <w:rFonts w:hint="eastAsia" w:ascii="Times New Roman" w:hAnsi="Times New Roman"/>
          <w:sz w:val="24"/>
        </w:rPr>
        <w:t>建设项目压覆重要矿产资源评估主要内容应包括项目基本情况、项目选址工作区地质矿产情况，主要确定压覆矿产的矿种、种类、面积及压覆矿产资源</w:t>
      </w:r>
      <w:r>
        <w:rPr>
          <w:rFonts w:ascii="Times New Roman" w:hAnsi="Times New Roman"/>
          <w:sz w:val="24"/>
        </w:rPr>
        <w:t>/</w:t>
      </w:r>
      <w:r>
        <w:rPr>
          <w:rFonts w:hint="eastAsia" w:ascii="Times New Roman" w:hAnsi="Times New Roman"/>
          <w:sz w:val="24"/>
        </w:rPr>
        <w:t>储量的类型、质量、数量、经济价值、矿业权归属情况等。</w:t>
      </w:r>
    </w:p>
    <w:p w14:paraId="6F83D26F">
      <w:pPr>
        <w:overflowPunct w:val="0"/>
        <w:spacing w:line="360" w:lineRule="auto"/>
        <w:ind w:firstLine="480" w:firstLineChars="200"/>
        <w:rPr>
          <w:rFonts w:ascii="Times New Roman" w:hAnsi="Times New Roman"/>
          <w:sz w:val="24"/>
        </w:rPr>
      </w:pPr>
      <w:r>
        <w:rPr>
          <w:rFonts w:hint="eastAsia" w:ascii="Times New Roman" w:hAnsi="Times New Roman"/>
          <w:sz w:val="24"/>
        </w:rPr>
        <w:t>4.6</w:t>
      </w:r>
      <w:r>
        <w:rPr>
          <w:rFonts w:ascii="Times New Roman" w:hAnsi="Times New Roman"/>
          <w:sz w:val="24"/>
        </w:rPr>
        <w:t xml:space="preserve">.3 </w:t>
      </w:r>
      <w:r>
        <w:rPr>
          <w:rFonts w:hint="eastAsia" w:ascii="Times New Roman" w:hAnsi="Times New Roman"/>
          <w:sz w:val="24"/>
        </w:rPr>
        <w:t>工程咨询机构应根据建设项目压覆重要矿产资源评估结论，协助委托方向有权限的自然资源主管部门报批。</w:t>
      </w:r>
    </w:p>
    <w:p w14:paraId="2F2CDE97">
      <w:pPr>
        <w:adjustRightInd w:val="0"/>
        <w:snapToGrid w:val="0"/>
        <w:spacing w:line="360" w:lineRule="auto"/>
        <w:ind w:left="420" w:leftChars="200"/>
        <w:outlineLvl w:val="1"/>
        <w:rPr>
          <w:b/>
          <w:bCs/>
          <w:sz w:val="28"/>
          <w:szCs w:val="32"/>
        </w:rPr>
      </w:pPr>
      <w:bookmarkStart w:id="19" w:name="_Toc190875417"/>
      <w:r>
        <w:rPr>
          <w:rFonts w:hint="eastAsia"/>
          <w:b/>
          <w:bCs/>
          <w:sz w:val="28"/>
          <w:szCs w:val="32"/>
        </w:rPr>
        <w:t>4.7 防洪影响评价</w:t>
      </w:r>
      <w:bookmarkEnd w:id="19"/>
    </w:p>
    <w:p w14:paraId="676420D8">
      <w:pPr>
        <w:overflowPunct w:val="0"/>
        <w:spacing w:line="360" w:lineRule="auto"/>
        <w:ind w:firstLine="480" w:firstLineChars="200"/>
        <w:rPr>
          <w:rFonts w:ascii="Times New Roman" w:hAnsi="Times New Roman"/>
          <w:sz w:val="24"/>
        </w:rPr>
      </w:pPr>
      <w:r>
        <w:rPr>
          <w:rFonts w:hint="eastAsia" w:ascii="Times New Roman" w:hAnsi="Times New Roman"/>
          <w:sz w:val="24"/>
        </w:rPr>
        <w:t>4.7</w:t>
      </w:r>
      <w:r>
        <w:rPr>
          <w:rFonts w:ascii="Times New Roman" w:hAnsi="Times New Roman"/>
          <w:sz w:val="24"/>
        </w:rPr>
        <w:t xml:space="preserve">.1 </w:t>
      </w:r>
      <w:r>
        <w:rPr>
          <w:rFonts w:hint="eastAsia" w:ascii="Times New Roman" w:hAnsi="Times New Roman"/>
          <w:sz w:val="24"/>
        </w:rPr>
        <w:t>工程咨询机构应依据防洪等相关法律法规的规定，全面掌握防洪影响评价标准和规范性文件要求，开展防洪影响评价。</w:t>
      </w:r>
    </w:p>
    <w:p w14:paraId="074CDE15">
      <w:pPr>
        <w:overflowPunct w:val="0"/>
        <w:spacing w:line="360" w:lineRule="auto"/>
        <w:ind w:firstLine="480" w:firstLineChars="200"/>
        <w:rPr>
          <w:rFonts w:ascii="Times New Roman" w:hAnsi="Times New Roman"/>
          <w:sz w:val="24"/>
        </w:rPr>
      </w:pPr>
      <w:r>
        <w:rPr>
          <w:rFonts w:hint="eastAsia" w:ascii="Times New Roman" w:hAnsi="Times New Roman"/>
          <w:sz w:val="24"/>
        </w:rPr>
        <w:t>4.7</w:t>
      </w:r>
      <w:r>
        <w:rPr>
          <w:rFonts w:ascii="Times New Roman" w:hAnsi="Times New Roman"/>
          <w:sz w:val="24"/>
        </w:rPr>
        <w:t xml:space="preserve">.2 </w:t>
      </w:r>
      <w:r>
        <w:rPr>
          <w:rFonts w:hint="eastAsia" w:ascii="Times New Roman" w:hAnsi="Times New Roman"/>
          <w:sz w:val="24"/>
        </w:rPr>
        <w:t>防洪影响评价主要内容应包括项目概况、项目对防洪的影响、洪水对建设项目的影响、消除或减轻洪水影响的措施、结论与建议等。</w:t>
      </w:r>
    </w:p>
    <w:p w14:paraId="2AF0766A">
      <w:pPr>
        <w:overflowPunct w:val="0"/>
        <w:spacing w:line="360" w:lineRule="auto"/>
        <w:ind w:firstLine="480" w:firstLineChars="200"/>
        <w:rPr>
          <w:rFonts w:ascii="Times New Roman" w:hAnsi="Times New Roman"/>
          <w:sz w:val="24"/>
        </w:rPr>
      </w:pPr>
      <w:r>
        <w:rPr>
          <w:rFonts w:hint="eastAsia" w:ascii="Times New Roman" w:hAnsi="Times New Roman"/>
          <w:sz w:val="24"/>
        </w:rPr>
        <w:t>4.7</w:t>
      </w:r>
      <w:r>
        <w:rPr>
          <w:rFonts w:ascii="Times New Roman" w:hAnsi="Times New Roman"/>
          <w:sz w:val="24"/>
        </w:rPr>
        <w:t xml:space="preserve">.3 </w:t>
      </w:r>
      <w:r>
        <w:rPr>
          <w:rFonts w:hint="eastAsia" w:ascii="Times New Roman" w:hAnsi="Times New Roman"/>
          <w:sz w:val="24"/>
        </w:rPr>
        <w:t>河道管理范围内建设项目工程建设方案的审批，工程咨询机构应编制防洪评价报告。非防洪建设项目防洪影响评价报告的审批，应编制防洪影响评价报告。国家基本水文测站上下游建设影响水文监测工程的审批，应编制建设工程对水文监测影响程度的分析评价报告。</w:t>
      </w:r>
    </w:p>
    <w:p w14:paraId="65FB8F7B">
      <w:pPr>
        <w:overflowPunct w:val="0"/>
        <w:spacing w:line="360" w:lineRule="auto"/>
        <w:ind w:firstLine="480" w:firstLineChars="200"/>
        <w:rPr>
          <w:rFonts w:ascii="Times New Roman" w:hAnsi="Times New Roman"/>
          <w:sz w:val="24"/>
        </w:rPr>
      </w:pPr>
      <w:r>
        <w:rPr>
          <w:rFonts w:hint="eastAsia" w:ascii="Times New Roman" w:hAnsi="Times New Roman"/>
          <w:sz w:val="24"/>
        </w:rPr>
        <w:t>4.7.</w:t>
      </w:r>
      <w:r>
        <w:rPr>
          <w:rFonts w:ascii="Times New Roman" w:hAnsi="Times New Roman"/>
          <w:sz w:val="24"/>
        </w:rPr>
        <w:t xml:space="preserve">4 </w:t>
      </w:r>
      <w:r>
        <w:rPr>
          <w:rFonts w:hint="eastAsia" w:ascii="Times New Roman" w:hAnsi="Times New Roman"/>
          <w:sz w:val="24"/>
        </w:rPr>
        <w:t>工程咨询机构应根据防洪影响评价结论，协助委托方向有权限的水行政主管部门报批。</w:t>
      </w:r>
    </w:p>
    <w:p w14:paraId="7EBC4CC1">
      <w:pPr>
        <w:adjustRightInd w:val="0"/>
        <w:snapToGrid w:val="0"/>
        <w:spacing w:line="360" w:lineRule="auto"/>
        <w:ind w:left="420" w:leftChars="200"/>
        <w:outlineLvl w:val="1"/>
        <w:rPr>
          <w:b/>
          <w:bCs/>
          <w:sz w:val="28"/>
          <w:szCs w:val="32"/>
        </w:rPr>
      </w:pPr>
      <w:bookmarkStart w:id="20" w:name="_Toc190875418"/>
      <w:r>
        <w:rPr>
          <w:rFonts w:hint="eastAsia"/>
          <w:b/>
          <w:bCs/>
          <w:sz w:val="28"/>
          <w:szCs w:val="32"/>
        </w:rPr>
        <w:t>4.8 生产建设项目水土保持方案</w:t>
      </w:r>
      <w:bookmarkEnd w:id="20"/>
    </w:p>
    <w:p w14:paraId="18D9779C">
      <w:pPr>
        <w:overflowPunct w:val="0"/>
        <w:spacing w:line="360" w:lineRule="auto"/>
        <w:ind w:firstLine="480" w:firstLineChars="200"/>
        <w:rPr>
          <w:rFonts w:ascii="Times New Roman" w:hAnsi="Times New Roman"/>
          <w:sz w:val="24"/>
        </w:rPr>
      </w:pPr>
      <w:r>
        <w:rPr>
          <w:rFonts w:hint="eastAsia" w:ascii="Times New Roman" w:hAnsi="Times New Roman"/>
          <w:sz w:val="24"/>
        </w:rPr>
        <w:t>4.8</w:t>
      </w:r>
      <w:r>
        <w:rPr>
          <w:rFonts w:ascii="Times New Roman" w:hAnsi="Times New Roman"/>
          <w:sz w:val="24"/>
        </w:rPr>
        <w:t xml:space="preserve">.1 </w:t>
      </w:r>
      <w:r>
        <w:rPr>
          <w:rFonts w:hint="eastAsia" w:ascii="Times New Roman" w:hAnsi="Times New Roman"/>
          <w:sz w:val="24"/>
        </w:rPr>
        <w:t>工程咨询机构应依据水土保持等相关法律法规的规定，全面掌握国家水土保持政策标准、技术规范等，编制生产建设项目水土保持方案。</w:t>
      </w:r>
    </w:p>
    <w:p w14:paraId="69CE59EF">
      <w:pPr>
        <w:overflowPunct w:val="0"/>
        <w:spacing w:line="360" w:lineRule="auto"/>
        <w:ind w:firstLine="480" w:firstLineChars="200"/>
        <w:rPr>
          <w:rFonts w:ascii="Times New Roman" w:hAnsi="Times New Roman"/>
          <w:sz w:val="24"/>
        </w:rPr>
      </w:pPr>
      <w:r>
        <w:rPr>
          <w:rFonts w:hint="eastAsia" w:ascii="Times New Roman" w:hAnsi="Times New Roman"/>
          <w:sz w:val="24"/>
        </w:rPr>
        <w:t>4.8</w:t>
      </w:r>
      <w:r>
        <w:rPr>
          <w:rFonts w:ascii="Times New Roman" w:hAnsi="Times New Roman"/>
          <w:sz w:val="24"/>
        </w:rPr>
        <w:t xml:space="preserve">.2 </w:t>
      </w:r>
      <w:r>
        <w:rPr>
          <w:rFonts w:hint="eastAsia" w:ascii="Times New Roman" w:hAnsi="Times New Roman"/>
          <w:sz w:val="24"/>
        </w:rPr>
        <w:t>生产建设项目水土保持方案主要内容应包括生产建设项目概况及项目所在地区域概况、主体工程水土保持评价与水土流失预测，水土流失防治责任范围及防治分区，水土流失防治目标及防治措施布局，水土保持方案投资估算与效益分析等。</w:t>
      </w:r>
    </w:p>
    <w:p w14:paraId="2C5D23DB">
      <w:pPr>
        <w:overflowPunct w:val="0"/>
        <w:spacing w:line="360" w:lineRule="auto"/>
        <w:ind w:firstLine="480" w:firstLineChars="200"/>
        <w:rPr>
          <w:rFonts w:ascii="Times New Roman" w:hAnsi="Times New Roman"/>
          <w:sz w:val="24"/>
        </w:rPr>
      </w:pPr>
      <w:r>
        <w:rPr>
          <w:rFonts w:hint="eastAsia" w:ascii="Times New Roman" w:hAnsi="Times New Roman"/>
          <w:sz w:val="24"/>
        </w:rPr>
        <w:t>4.8</w:t>
      </w:r>
      <w:r>
        <w:rPr>
          <w:rFonts w:ascii="Times New Roman" w:hAnsi="Times New Roman"/>
          <w:sz w:val="24"/>
        </w:rPr>
        <w:t xml:space="preserve">.3 </w:t>
      </w:r>
      <w:r>
        <w:rPr>
          <w:rFonts w:hint="eastAsia" w:ascii="Times New Roman" w:hAnsi="Times New Roman"/>
          <w:sz w:val="24"/>
        </w:rPr>
        <w:t>工程咨询机构应根据生产建设项目水土保持方案结论，协助委托方向有权限的水行政主管部门报批。</w:t>
      </w:r>
    </w:p>
    <w:p w14:paraId="0C354FF8">
      <w:pPr>
        <w:adjustRightInd w:val="0"/>
        <w:snapToGrid w:val="0"/>
        <w:spacing w:line="360" w:lineRule="auto"/>
        <w:ind w:left="420" w:leftChars="200"/>
        <w:outlineLvl w:val="1"/>
        <w:rPr>
          <w:b/>
          <w:bCs/>
          <w:sz w:val="28"/>
          <w:szCs w:val="32"/>
        </w:rPr>
      </w:pPr>
      <w:bookmarkStart w:id="21" w:name="_Toc190875419"/>
      <w:r>
        <w:rPr>
          <w:rFonts w:hint="eastAsia"/>
          <w:b/>
          <w:bCs/>
          <w:sz w:val="28"/>
          <w:szCs w:val="32"/>
        </w:rPr>
        <w:t>4.9 水资源论证</w:t>
      </w:r>
      <w:bookmarkEnd w:id="21"/>
    </w:p>
    <w:p w14:paraId="7449948A">
      <w:pPr>
        <w:overflowPunct w:val="0"/>
        <w:spacing w:line="360" w:lineRule="auto"/>
        <w:ind w:firstLine="480" w:firstLineChars="200"/>
        <w:rPr>
          <w:rFonts w:ascii="Times New Roman" w:hAnsi="Times New Roman"/>
          <w:sz w:val="24"/>
        </w:rPr>
      </w:pPr>
      <w:r>
        <w:rPr>
          <w:rFonts w:hint="eastAsia" w:ascii="Times New Roman" w:hAnsi="Times New Roman"/>
          <w:sz w:val="24"/>
        </w:rPr>
        <w:t>4.9</w:t>
      </w:r>
      <w:r>
        <w:rPr>
          <w:rFonts w:ascii="Times New Roman" w:hAnsi="Times New Roman"/>
          <w:sz w:val="24"/>
        </w:rPr>
        <w:t xml:space="preserve">.1 </w:t>
      </w:r>
      <w:r>
        <w:rPr>
          <w:rFonts w:hint="eastAsia" w:ascii="Times New Roman" w:hAnsi="Times New Roman"/>
          <w:sz w:val="24"/>
        </w:rPr>
        <w:t>工程咨询机构应依据取水许可等相关法律法规的规定，开展建设项目水资源论证。</w:t>
      </w:r>
    </w:p>
    <w:p w14:paraId="45D45BDB">
      <w:pPr>
        <w:overflowPunct w:val="0"/>
        <w:spacing w:line="360" w:lineRule="auto"/>
        <w:ind w:firstLine="480" w:firstLineChars="200"/>
        <w:rPr>
          <w:rFonts w:ascii="Times New Roman" w:hAnsi="Times New Roman"/>
          <w:sz w:val="24"/>
        </w:rPr>
      </w:pPr>
      <w:r>
        <w:rPr>
          <w:rFonts w:hint="eastAsia" w:ascii="Times New Roman" w:hAnsi="Times New Roman"/>
          <w:sz w:val="24"/>
        </w:rPr>
        <w:t>4.9</w:t>
      </w:r>
      <w:r>
        <w:rPr>
          <w:rFonts w:ascii="Times New Roman" w:hAnsi="Times New Roman"/>
          <w:sz w:val="24"/>
        </w:rPr>
        <w:t xml:space="preserve">.2 </w:t>
      </w:r>
      <w:r>
        <w:rPr>
          <w:rFonts w:hint="eastAsia" w:ascii="Times New Roman" w:hAnsi="Times New Roman"/>
          <w:sz w:val="24"/>
        </w:rPr>
        <w:t>建设项目水资源论证主要内容应包括拟建项目概况、取水水源论证、用水合理性论证、退（排）水情况及其对水环境影响分析、对其他用水户权益的影响分析、其他事项等。</w:t>
      </w:r>
    </w:p>
    <w:p w14:paraId="7ED4C5C9">
      <w:pPr>
        <w:overflowPunct w:val="0"/>
        <w:spacing w:line="360" w:lineRule="auto"/>
        <w:ind w:firstLine="480" w:firstLineChars="200"/>
        <w:rPr>
          <w:rFonts w:ascii="Times New Roman" w:hAnsi="Times New Roman"/>
          <w:sz w:val="24"/>
        </w:rPr>
      </w:pPr>
      <w:r>
        <w:rPr>
          <w:rFonts w:hint="eastAsia" w:ascii="Times New Roman" w:hAnsi="Times New Roman"/>
          <w:sz w:val="24"/>
        </w:rPr>
        <w:t>4.9</w:t>
      </w:r>
      <w:r>
        <w:rPr>
          <w:rFonts w:ascii="Times New Roman" w:hAnsi="Times New Roman"/>
          <w:sz w:val="24"/>
        </w:rPr>
        <w:t xml:space="preserve">.3 </w:t>
      </w:r>
      <w:r>
        <w:rPr>
          <w:rFonts w:hint="eastAsia" w:ascii="Times New Roman" w:hAnsi="Times New Roman"/>
          <w:sz w:val="24"/>
        </w:rPr>
        <w:t>工程咨询机构应根据项目取水量以及对周边环境影响程度等情况，按规定要求编制水资源论证报告书（表）。</w:t>
      </w:r>
    </w:p>
    <w:p w14:paraId="43B49912">
      <w:pPr>
        <w:overflowPunct w:val="0"/>
        <w:spacing w:line="360" w:lineRule="auto"/>
        <w:ind w:firstLine="480" w:firstLineChars="200"/>
        <w:rPr>
          <w:rFonts w:ascii="Times New Roman" w:hAnsi="Times New Roman"/>
          <w:sz w:val="24"/>
        </w:rPr>
      </w:pPr>
      <w:r>
        <w:rPr>
          <w:rFonts w:hint="eastAsia" w:ascii="Times New Roman" w:hAnsi="Times New Roman"/>
          <w:sz w:val="24"/>
        </w:rPr>
        <w:t>4.9</w:t>
      </w:r>
      <w:r>
        <w:rPr>
          <w:rFonts w:ascii="Times New Roman" w:hAnsi="Times New Roman"/>
          <w:sz w:val="24"/>
        </w:rPr>
        <w:t xml:space="preserve">.4 </w:t>
      </w:r>
      <w:r>
        <w:rPr>
          <w:rFonts w:hint="eastAsia" w:ascii="Times New Roman" w:hAnsi="Times New Roman"/>
          <w:sz w:val="24"/>
        </w:rPr>
        <w:t>工程咨询机构应根据建设项目水资源论证结论，协助委托方向有权限的水行政主管部门报批。</w:t>
      </w:r>
    </w:p>
    <w:p w14:paraId="0261147F">
      <w:pPr>
        <w:adjustRightInd w:val="0"/>
        <w:snapToGrid w:val="0"/>
        <w:spacing w:line="360" w:lineRule="auto"/>
        <w:ind w:left="420" w:leftChars="200"/>
        <w:outlineLvl w:val="1"/>
        <w:rPr>
          <w:b/>
          <w:bCs/>
          <w:sz w:val="28"/>
          <w:szCs w:val="32"/>
        </w:rPr>
      </w:pPr>
      <w:bookmarkStart w:id="22" w:name="_Toc190875420"/>
      <w:r>
        <w:rPr>
          <w:rFonts w:hint="eastAsia"/>
          <w:b/>
          <w:bCs/>
          <w:sz w:val="28"/>
          <w:szCs w:val="32"/>
        </w:rPr>
        <w:t>4.10 建设工程文物保护</w:t>
      </w:r>
      <w:bookmarkEnd w:id="22"/>
    </w:p>
    <w:p w14:paraId="615BEE27">
      <w:pPr>
        <w:overflowPunct w:val="0"/>
        <w:spacing w:line="360" w:lineRule="auto"/>
        <w:ind w:firstLine="480" w:firstLineChars="200"/>
        <w:rPr>
          <w:rFonts w:ascii="Times New Roman" w:hAnsi="Times New Roman"/>
          <w:sz w:val="24"/>
        </w:rPr>
      </w:pPr>
      <w:r>
        <w:rPr>
          <w:rFonts w:hint="eastAsia" w:ascii="Times New Roman" w:hAnsi="Times New Roman"/>
          <w:sz w:val="24"/>
        </w:rPr>
        <w:t>4.10</w:t>
      </w:r>
      <w:r>
        <w:rPr>
          <w:rFonts w:ascii="Times New Roman" w:hAnsi="Times New Roman"/>
          <w:sz w:val="24"/>
        </w:rPr>
        <w:t xml:space="preserve">.1 </w:t>
      </w:r>
      <w:r>
        <w:rPr>
          <w:rFonts w:hint="eastAsia" w:ascii="Times New Roman" w:hAnsi="Times New Roman"/>
          <w:sz w:val="24"/>
        </w:rPr>
        <w:t>工程咨询机构应依据文物保护等相关法律法规的规定，全面掌握拟建项目建设地点、工程规划和设计方案、文物保护单位的具体情况等，开展建设工程对文物可能产生破坏或影响的评估。</w:t>
      </w:r>
    </w:p>
    <w:p w14:paraId="1ECC39D8">
      <w:pPr>
        <w:overflowPunct w:val="0"/>
        <w:spacing w:line="360" w:lineRule="auto"/>
        <w:ind w:firstLine="480" w:firstLineChars="200"/>
        <w:rPr>
          <w:rFonts w:ascii="Times New Roman" w:hAnsi="Times New Roman"/>
          <w:sz w:val="24"/>
        </w:rPr>
      </w:pPr>
      <w:r>
        <w:rPr>
          <w:rFonts w:hint="eastAsia" w:ascii="Times New Roman" w:hAnsi="Times New Roman"/>
          <w:sz w:val="24"/>
        </w:rPr>
        <w:t>4.10</w:t>
      </w:r>
      <w:r>
        <w:rPr>
          <w:rFonts w:ascii="Times New Roman" w:hAnsi="Times New Roman"/>
          <w:sz w:val="24"/>
        </w:rPr>
        <w:t xml:space="preserve">.2 </w:t>
      </w:r>
      <w:r>
        <w:rPr>
          <w:rFonts w:hint="eastAsia" w:ascii="Times New Roman" w:hAnsi="Times New Roman"/>
          <w:sz w:val="24"/>
        </w:rPr>
        <w:t>建设工程对文物可能产生破坏或影响的评估主要内容应包括项目概况、涉及文物保护单位概况、项目与文物保护单位的关系、项目对文物保护单位的影响分析、评估结论等。</w:t>
      </w:r>
    </w:p>
    <w:p w14:paraId="797C8A34">
      <w:pPr>
        <w:overflowPunct w:val="0"/>
        <w:spacing w:line="360" w:lineRule="auto"/>
        <w:ind w:firstLine="480" w:firstLineChars="200"/>
        <w:rPr>
          <w:rFonts w:ascii="Times New Roman" w:hAnsi="Times New Roman"/>
          <w:sz w:val="24"/>
        </w:rPr>
        <w:sectPr>
          <w:pgSz w:w="11906" w:h="16838"/>
          <w:pgMar w:top="1440" w:right="1800" w:bottom="1440" w:left="1800" w:header="851" w:footer="992" w:gutter="0"/>
          <w:cols w:space="425" w:num="1"/>
          <w:docGrid w:type="lines" w:linePitch="312" w:charSpace="0"/>
        </w:sectPr>
      </w:pPr>
      <w:r>
        <w:rPr>
          <w:rFonts w:hint="eastAsia" w:ascii="Times New Roman" w:hAnsi="Times New Roman"/>
          <w:sz w:val="24"/>
        </w:rPr>
        <w:t>4.10</w:t>
      </w:r>
      <w:r>
        <w:rPr>
          <w:rFonts w:ascii="Times New Roman" w:hAnsi="Times New Roman"/>
          <w:sz w:val="24"/>
        </w:rPr>
        <w:t xml:space="preserve">.3 </w:t>
      </w:r>
      <w:r>
        <w:rPr>
          <w:rFonts w:hint="eastAsia" w:ascii="Times New Roman" w:hAnsi="Times New Roman"/>
          <w:sz w:val="24"/>
        </w:rPr>
        <w:t>工程咨询机构应根据建设工程对文物可能产生破坏或影响的评估结论，协助委托方向有权限的文物行政主管部门报批。</w:t>
      </w:r>
    </w:p>
    <w:bookmarkEnd w:id="11"/>
    <w:bookmarkEnd w:id="12"/>
    <w:bookmarkEnd w:id="13"/>
    <w:p w14:paraId="49F995DC">
      <w:pPr>
        <w:adjustRightInd w:val="0"/>
        <w:snapToGrid w:val="0"/>
        <w:spacing w:line="360" w:lineRule="auto"/>
        <w:outlineLvl w:val="0"/>
        <w:rPr>
          <w:b/>
          <w:bCs/>
          <w:sz w:val="28"/>
          <w:szCs w:val="32"/>
        </w:rPr>
      </w:pPr>
      <w:bookmarkStart w:id="23" w:name="_Toc190875421"/>
      <w:r>
        <w:rPr>
          <w:rFonts w:hint="eastAsia"/>
          <w:b/>
          <w:bCs/>
          <w:sz w:val="28"/>
          <w:szCs w:val="32"/>
        </w:rPr>
        <w:t>5</w:t>
      </w:r>
      <w:r>
        <w:rPr>
          <w:b/>
          <w:bCs/>
          <w:sz w:val="28"/>
          <w:szCs w:val="32"/>
        </w:rPr>
        <w:t xml:space="preserve"> </w:t>
      </w:r>
      <w:r>
        <w:rPr>
          <w:rFonts w:hint="eastAsia"/>
          <w:b/>
          <w:bCs/>
          <w:sz w:val="28"/>
          <w:szCs w:val="32"/>
        </w:rPr>
        <w:t>工程建设全过程咨询</w:t>
      </w:r>
      <w:bookmarkEnd w:id="23"/>
    </w:p>
    <w:p w14:paraId="06F70619">
      <w:pPr>
        <w:adjustRightInd w:val="0"/>
        <w:snapToGrid w:val="0"/>
        <w:spacing w:line="360" w:lineRule="auto"/>
        <w:ind w:left="420" w:leftChars="200"/>
        <w:outlineLvl w:val="1"/>
        <w:rPr>
          <w:b/>
          <w:bCs/>
          <w:sz w:val="28"/>
          <w:szCs w:val="32"/>
        </w:rPr>
      </w:pPr>
      <w:bookmarkStart w:id="24" w:name="_Toc190875422"/>
      <w:r>
        <w:rPr>
          <w:rFonts w:hint="eastAsia"/>
          <w:b/>
          <w:bCs/>
          <w:sz w:val="28"/>
          <w:szCs w:val="32"/>
        </w:rPr>
        <w:t>5</w:t>
      </w:r>
      <w:r>
        <w:rPr>
          <w:b/>
          <w:bCs/>
          <w:sz w:val="28"/>
          <w:szCs w:val="32"/>
        </w:rPr>
        <w:t xml:space="preserve">.1 </w:t>
      </w:r>
      <w:r>
        <w:rPr>
          <w:rFonts w:hint="eastAsia"/>
          <w:b/>
          <w:bCs/>
          <w:sz w:val="28"/>
          <w:szCs w:val="32"/>
        </w:rPr>
        <w:t>一般规定</w:t>
      </w:r>
      <w:bookmarkEnd w:id="24"/>
    </w:p>
    <w:p w14:paraId="4DB19325">
      <w:pPr>
        <w:overflowPunct w:val="0"/>
        <w:spacing w:line="360" w:lineRule="auto"/>
        <w:ind w:firstLine="480" w:firstLineChars="200"/>
        <w:rPr>
          <w:rFonts w:ascii="Times New Roman" w:hAnsi="Times New Roman"/>
          <w:sz w:val="24"/>
        </w:rPr>
      </w:pPr>
      <w:r>
        <w:rPr>
          <w:rFonts w:hint="eastAsia" w:ascii="Times New Roman" w:hAnsi="Times New Roman"/>
          <w:sz w:val="24"/>
        </w:rPr>
        <w:t>5</w:t>
      </w:r>
      <w:r>
        <w:rPr>
          <w:rFonts w:ascii="Times New Roman" w:hAnsi="Times New Roman"/>
          <w:sz w:val="24"/>
        </w:rPr>
        <w:t xml:space="preserve">.1.1 </w:t>
      </w:r>
      <w:r>
        <w:rPr>
          <w:rFonts w:hint="eastAsia" w:ascii="Times New Roman" w:hAnsi="Times New Roman"/>
          <w:sz w:val="24"/>
        </w:rPr>
        <w:t>工程建设全过程咨询服务贯穿工程建设的全过程，</w:t>
      </w:r>
      <w:r>
        <w:rPr>
          <w:rFonts w:ascii="Times New Roman" w:hAnsi="Times New Roman"/>
          <w:sz w:val="24"/>
        </w:rPr>
        <w:t>可</w:t>
      </w:r>
      <w:r>
        <w:rPr>
          <w:rFonts w:hint="eastAsia" w:ascii="Times New Roman" w:hAnsi="Times New Roman"/>
          <w:sz w:val="24"/>
        </w:rPr>
        <w:t>包括工程报批报建服务、工程勘察管理、工程设计管理、工程造价咨询、工程采购咨询、工程监理和施工项目管理等内容。</w:t>
      </w:r>
    </w:p>
    <w:p w14:paraId="5B960219">
      <w:pPr>
        <w:overflowPunct w:val="0"/>
        <w:spacing w:line="360" w:lineRule="auto"/>
        <w:ind w:firstLine="480" w:firstLineChars="200"/>
        <w:rPr>
          <w:rFonts w:ascii="Times New Roman" w:hAnsi="Times New Roman"/>
          <w:sz w:val="24"/>
        </w:rPr>
      </w:pPr>
      <w:r>
        <w:rPr>
          <w:rFonts w:hint="eastAsia" w:ascii="Times New Roman" w:hAnsi="Times New Roman"/>
          <w:sz w:val="24"/>
        </w:rPr>
        <w:t>5</w:t>
      </w:r>
      <w:r>
        <w:rPr>
          <w:rFonts w:ascii="Times New Roman" w:hAnsi="Times New Roman"/>
          <w:sz w:val="24"/>
        </w:rPr>
        <w:t>.1.</w:t>
      </w:r>
      <w:r>
        <w:rPr>
          <w:rFonts w:hint="eastAsia" w:ascii="Times New Roman" w:hAnsi="Times New Roman"/>
          <w:sz w:val="24"/>
        </w:rPr>
        <w:t>2</w:t>
      </w:r>
      <w:r>
        <w:rPr>
          <w:rFonts w:ascii="Times New Roman" w:hAnsi="Times New Roman"/>
          <w:sz w:val="24"/>
        </w:rPr>
        <w:t xml:space="preserve"> </w:t>
      </w:r>
      <w:r>
        <w:rPr>
          <w:rFonts w:hint="eastAsia" w:ascii="Times New Roman" w:hAnsi="Times New Roman"/>
          <w:sz w:val="24"/>
        </w:rPr>
        <w:t>工程咨询机构应以投资决策综合性咨询的成果为目标，运用目标管理等方法，通过目标分解、细化管理标准和优化管理流程等，</w:t>
      </w:r>
      <w:r>
        <w:rPr>
          <w:rFonts w:ascii="Times New Roman" w:hAnsi="Times New Roman"/>
          <w:sz w:val="24"/>
        </w:rPr>
        <w:t>使之贯彻落实，以满足</w:t>
      </w:r>
      <w:r>
        <w:rPr>
          <w:rFonts w:hint="eastAsia" w:ascii="Times New Roman" w:hAnsi="Times New Roman"/>
          <w:sz w:val="24"/>
        </w:rPr>
        <w:t>投资决策目标的全面实现。</w:t>
      </w:r>
    </w:p>
    <w:p w14:paraId="24DB5578">
      <w:pPr>
        <w:overflowPunct w:val="0"/>
        <w:spacing w:line="360" w:lineRule="auto"/>
        <w:ind w:firstLine="480" w:firstLineChars="200"/>
        <w:rPr>
          <w:rFonts w:ascii="Times New Roman" w:hAnsi="Times New Roman"/>
          <w:sz w:val="24"/>
        </w:rPr>
      </w:pPr>
      <w:r>
        <w:rPr>
          <w:rFonts w:hint="eastAsia" w:ascii="Times New Roman" w:hAnsi="Times New Roman"/>
          <w:sz w:val="24"/>
        </w:rPr>
        <w:t>5</w:t>
      </w:r>
      <w:r>
        <w:rPr>
          <w:rFonts w:ascii="Times New Roman" w:hAnsi="Times New Roman"/>
          <w:sz w:val="24"/>
        </w:rPr>
        <w:t>.1.</w:t>
      </w:r>
      <w:r>
        <w:rPr>
          <w:rFonts w:hint="eastAsia" w:ascii="Times New Roman" w:hAnsi="Times New Roman"/>
          <w:sz w:val="24"/>
        </w:rPr>
        <w:t>3</w:t>
      </w:r>
      <w:r>
        <w:rPr>
          <w:rFonts w:ascii="Times New Roman" w:hAnsi="Times New Roman"/>
          <w:sz w:val="24"/>
        </w:rPr>
        <w:t xml:space="preserve"> </w:t>
      </w:r>
      <w:r>
        <w:rPr>
          <w:rFonts w:hint="eastAsia" w:ascii="Times New Roman" w:hAnsi="Times New Roman"/>
          <w:sz w:val="24"/>
        </w:rPr>
        <w:t>工程咨询机构应在工程建设全过程咨询服务中，实现各项咨询服务的有机整合和集成，提供跨阶段、一体化的综合性服务。</w:t>
      </w:r>
    </w:p>
    <w:p w14:paraId="3FE4E11B">
      <w:pPr>
        <w:adjustRightInd w:val="0"/>
        <w:snapToGrid w:val="0"/>
        <w:spacing w:line="360" w:lineRule="auto"/>
        <w:ind w:left="420" w:leftChars="200"/>
        <w:outlineLvl w:val="1"/>
        <w:rPr>
          <w:b/>
          <w:bCs/>
          <w:sz w:val="28"/>
          <w:szCs w:val="32"/>
        </w:rPr>
      </w:pPr>
      <w:bookmarkStart w:id="25" w:name="_Toc190875423"/>
      <w:r>
        <w:rPr>
          <w:rFonts w:hint="eastAsia"/>
          <w:b/>
          <w:bCs/>
          <w:sz w:val="28"/>
          <w:szCs w:val="32"/>
        </w:rPr>
        <w:t>5.2 工程报批报建</w:t>
      </w:r>
      <w:bookmarkEnd w:id="25"/>
    </w:p>
    <w:p w14:paraId="4A9C8FEA">
      <w:pPr>
        <w:overflowPunct w:val="0"/>
        <w:spacing w:line="360" w:lineRule="auto"/>
        <w:ind w:firstLine="480" w:firstLineChars="200"/>
        <w:rPr>
          <w:rFonts w:ascii="Times New Roman" w:hAnsi="Times New Roman"/>
          <w:sz w:val="24"/>
        </w:rPr>
      </w:pPr>
      <w:r>
        <w:rPr>
          <w:rFonts w:hint="eastAsia" w:ascii="Times New Roman" w:hAnsi="Times New Roman"/>
          <w:sz w:val="24"/>
        </w:rPr>
        <w:t>5.2.1 工程咨询机构应根据项目所在地政策、项目特点及进度安排，编制报批报建工作计划。计划应包括行政审批事项、办理程序、审批部门、审批时序（周期）、紧前（紧后）事项、所需资料及其供应方等，并负责完成报批报建的申报工作及成果文件归档。</w:t>
      </w:r>
    </w:p>
    <w:p w14:paraId="7349EC4E">
      <w:pPr>
        <w:overflowPunct w:val="0"/>
        <w:spacing w:line="360" w:lineRule="auto"/>
        <w:ind w:firstLine="480" w:firstLineChars="200"/>
        <w:rPr>
          <w:rFonts w:ascii="Times New Roman" w:hAnsi="Times New Roman"/>
          <w:sz w:val="24"/>
        </w:rPr>
      </w:pPr>
      <w:r>
        <w:rPr>
          <w:rFonts w:hint="eastAsia" w:ascii="Times New Roman" w:hAnsi="Times New Roman"/>
          <w:sz w:val="24"/>
        </w:rPr>
        <w:t>5.2.2 工程咨询机构应在立项规划许可</w:t>
      </w:r>
      <w:r>
        <w:rPr>
          <w:rFonts w:ascii="Times New Roman" w:hAnsi="Times New Roman"/>
          <w:sz w:val="24"/>
        </w:rPr>
        <w:t>阶段</w:t>
      </w:r>
      <w:r>
        <w:rPr>
          <w:rFonts w:hint="eastAsia" w:ascii="Times New Roman" w:hAnsi="Times New Roman"/>
          <w:sz w:val="24"/>
        </w:rPr>
        <w:t>，协助委托方办理土地手续、完成工程设计方案审批、取得工程规划许可证、开展施工图审图等工作，并提交申报资料、批复文件或专家论证报告等成果文件。</w:t>
      </w:r>
    </w:p>
    <w:p w14:paraId="17A87D7F">
      <w:pPr>
        <w:overflowPunct w:val="0"/>
        <w:spacing w:line="360" w:lineRule="auto"/>
        <w:ind w:firstLine="480" w:firstLineChars="200"/>
        <w:rPr>
          <w:rFonts w:ascii="Times New Roman" w:hAnsi="Times New Roman"/>
          <w:sz w:val="24"/>
        </w:rPr>
      </w:pPr>
      <w:r>
        <w:rPr>
          <w:rFonts w:hint="eastAsia" w:ascii="Times New Roman" w:hAnsi="Times New Roman"/>
          <w:sz w:val="24"/>
        </w:rPr>
        <w:t>5.2.3 工程咨询机构应在报批报建过程中，及时协调申报资料的补充、修改和完善工作，确保项目手续顺利推进。</w:t>
      </w:r>
    </w:p>
    <w:p w14:paraId="699990B3">
      <w:pPr>
        <w:overflowPunct w:val="0"/>
        <w:spacing w:line="360" w:lineRule="auto"/>
        <w:ind w:firstLine="480" w:firstLineChars="200"/>
        <w:rPr>
          <w:rFonts w:ascii="Times New Roman" w:hAnsi="Times New Roman"/>
          <w:sz w:val="24"/>
        </w:rPr>
      </w:pPr>
      <w:r>
        <w:rPr>
          <w:rFonts w:hint="eastAsia" w:ascii="Times New Roman" w:hAnsi="Times New Roman"/>
          <w:sz w:val="24"/>
        </w:rPr>
        <w:t>5.2.4 工程咨询机构应在项目实施准备过程中，依据地方政策要求，协助委托方及时申报临时用电、正式用电、临时用水、正式用水、热力燃气、通信、排污管等各项市政接入手续。</w:t>
      </w:r>
    </w:p>
    <w:p w14:paraId="75FB668B">
      <w:pPr>
        <w:overflowPunct w:val="0"/>
        <w:spacing w:line="360" w:lineRule="auto"/>
        <w:ind w:firstLine="480" w:firstLineChars="200"/>
        <w:rPr>
          <w:rFonts w:ascii="Times New Roman" w:hAnsi="Times New Roman"/>
          <w:sz w:val="24"/>
        </w:rPr>
      </w:pPr>
      <w:r>
        <w:rPr>
          <w:rFonts w:hint="eastAsia" w:ascii="Times New Roman" w:hAnsi="Times New Roman"/>
          <w:sz w:val="24"/>
        </w:rPr>
        <w:t>5.2.5 工程咨询机构应在竣工验收阶段，按照法律、法规规定，协助委托方组织竣工验收及各类专项验收工作，并完成项目的竣工验收备案。</w:t>
      </w:r>
    </w:p>
    <w:p w14:paraId="651063D5">
      <w:pPr>
        <w:spacing w:line="360" w:lineRule="auto"/>
        <w:ind w:left="420" w:leftChars="200"/>
        <w:outlineLvl w:val="1"/>
        <w:rPr>
          <w:b/>
          <w:bCs/>
          <w:sz w:val="28"/>
          <w:szCs w:val="32"/>
        </w:rPr>
      </w:pPr>
      <w:bookmarkStart w:id="26" w:name="_Toc190875424"/>
      <w:r>
        <w:rPr>
          <w:rFonts w:hint="eastAsia"/>
          <w:b/>
          <w:bCs/>
          <w:sz w:val="28"/>
          <w:szCs w:val="32"/>
        </w:rPr>
        <w:t>5</w:t>
      </w:r>
      <w:r>
        <w:rPr>
          <w:b/>
          <w:bCs/>
          <w:sz w:val="28"/>
          <w:szCs w:val="32"/>
        </w:rPr>
        <w:t xml:space="preserve">.3 </w:t>
      </w:r>
      <w:r>
        <w:rPr>
          <w:rFonts w:hint="eastAsia"/>
          <w:b/>
          <w:bCs/>
          <w:sz w:val="28"/>
          <w:szCs w:val="32"/>
        </w:rPr>
        <w:t>工程勘察设计管理</w:t>
      </w:r>
      <w:bookmarkEnd w:id="26"/>
    </w:p>
    <w:p w14:paraId="40D2DDF0">
      <w:pPr>
        <w:tabs>
          <w:tab w:val="left" w:pos="312"/>
        </w:tabs>
        <w:spacing w:line="360" w:lineRule="auto"/>
        <w:ind w:firstLine="480" w:firstLineChars="200"/>
        <w:rPr>
          <w:sz w:val="24"/>
          <w:szCs w:val="24"/>
        </w:rPr>
      </w:pPr>
      <w:r>
        <w:rPr>
          <w:rFonts w:hint="eastAsia"/>
          <w:sz w:val="24"/>
          <w:szCs w:val="24"/>
        </w:rPr>
        <w:t>5</w:t>
      </w:r>
      <w:r>
        <w:rPr>
          <w:sz w:val="24"/>
          <w:szCs w:val="24"/>
        </w:rPr>
        <w:t>.3.1</w:t>
      </w:r>
      <w:r>
        <w:rPr>
          <w:rFonts w:hint="eastAsia"/>
          <w:sz w:val="24"/>
          <w:szCs w:val="24"/>
        </w:rPr>
        <w:t>工程</w:t>
      </w:r>
      <w:r>
        <w:rPr>
          <w:rFonts w:hint="eastAsia" w:ascii="Times New Roman" w:hAnsi="Times New Roman"/>
          <w:sz w:val="24"/>
        </w:rPr>
        <w:t>咨询机构</w:t>
      </w:r>
      <w:r>
        <w:rPr>
          <w:rFonts w:hint="eastAsia"/>
          <w:sz w:val="24"/>
          <w:szCs w:val="24"/>
        </w:rPr>
        <w:t>应根据工程资料、工程勘察相关标准及拟建范围和设计需求，编制工程勘察任务书，并协助委托方选择专业勘察单位。</w:t>
      </w:r>
    </w:p>
    <w:p w14:paraId="33BCB51A">
      <w:pPr>
        <w:tabs>
          <w:tab w:val="left" w:pos="312"/>
        </w:tabs>
        <w:spacing w:line="360" w:lineRule="auto"/>
        <w:ind w:firstLine="480" w:firstLineChars="200"/>
        <w:rPr>
          <w:sz w:val="24"/>
          <w:szCs w:val="24"/>
        </w:rPr>
      </w:pPr>
      <w:r>
        <w:rPr>
          <w:rFonts w:hint="eastAsia"/>
          <w:sz w:val="24"/>
          <w:szCs w:val="24"/>
        </w:rPr>
        <w:t>5</w:t>
      </w:r>
      <w:r>
        <w:rPr>
          <w:sz w:val="24"/>
          <w:szCs w:val="24"/>
        </w:rPr>
        <w:t>.3.</w:t>
      </w:r>
      <w:r>
        <w:rPr>
          <w:rFonts w:hint="eastAsia"/>
          <w:sz w:val="24"/>
          <w:szCs w:val="24"/>
        </w:rPr>
        <w:t>2 在勘察阶段，工程</w:t>
      </w:r>
      <w:r>
        <w:rPr>
          <w:rFonts w:hint="eastAsia" w:ascii="Times New Roman" w:hAnsi="Times New Roman"/>
          <w:sz w:val="24"/>
        </w:rPr>
        <w:t>咨询机构</w:t>
      </w:r>
      <w:r>
        <w:rPr>
          <w:rFonts w:hint="eastAsia"/>
          <w:sz w:val="24"/>
          <w:szCs w:val="24"/>
        </w:rPr>
        <w:t>的勘察管理工作应包括：</w:t>
      </w:r>
    </w:p>
    <w:p w14:paraId="697C690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组织编制并审核勘察各阶段工作方案及工作计划；</w:t>
      </w:r>
    </w:p>
    <w:p w14:paraId="64D72A48">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分阶段监督及管理现场勘察工作的实施；</w:t>
      </w:r>
    </w:p>
    <w:p w14:paraId="2D7DF11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对各阶段《工程勘察报告》《物探报告》等勘察工作成果进行审核，协调处理勘察工作成果的修改。</w:t>
      </w:r>
    </w:p>
    <w:p w14:paraId="7D69B3C4">
      <w:pPr>
        <w:tabs>
          <w:tab w:val="left" w:pos="312"/>
        </w:tabs>
        <w:spacing w:line="360" w:lineRule="auto"/>
        <w:ind w:firstLine="480" w:firstLineChars="200"/>
      </w:pPr>
      <w:r>
        <w:rPr>
          <w:rFonts w:hint="eastAsia"/>
          <w:sz w:val="24"/>
          <w:szCs w:val="24"/>
        </w:rPr>
        <w:t>5</w:t>
      </w:r>
      <w:r>
        <w:rPr>
          <w:sz w:val="24"/>
          <w:szCs w:val="24"/>
        </w:rPr>
        <w:t>.3.</w:t>
      </w:r>
      <w:r>
        <w:rPr>
          <w:rFonts w:hint="eastAsia"/>
          <w:sz w:val="24"/>
          <w:szCs w:val="24"/>
        </w:rPr>
        <w:t>3 在设计准备阶段，工程咨询机构的设计管理工作应包括：</w:t>
      </w:r>
    </w:p>
    <w:p w14:paraId="3122BA3E">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组织勘察单位向设计进行成果交底，并做好勘察单位与设计单位之间的工作协调管理。</w:t>
      </w:r>
    </w:p>
    <w:p w14:paraId="5B22573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结合相关法律法规和管理规定、同类项目案例等资料，通过会议、访谈等方式收集委托方设计需求，明确投资规模、建设定位、功能需求、进度目标等项目信息。</w:t>
      </w:r>
    </w:p>
    <w:p w14:paraId="7900399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基于设计需求调研编制项目设计任务书，明确各阶段设计范围、内容、技术要求、进度计划、成果要求和工作界面及流程等，避免设计内容的缺项漏项。多单位参与的设计内容，应在设计任务书中划分各参与单位的职责与界面。</w:t>
      </w:r>
    </w:p>
    <w:p w14:paraId="38935B4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策划项目设计发包模式并协助委托方完成项目设计任务的委托。需设计单位提供施工阶段驻场服务时，工程咨询机构应在此阶段提前策划，并在设计合同中予以明确。</w:t>
      </w:r>
    </w:p>
    <w:p w14:paraId="280EE27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w:t>
      </w:r>
      <w:r>
        <w:rPr>
          <w:rFonts w:ascii="Calibri" w:hAnsi="Calibri" w:cs="Calibri"/>
          <w:bCs/>
          <w:sz w:val="24"/>
          <w:szCs w:val="24"/>
          <w:lang w:val="en-US"/>
        </w:rPr>
        <w:t xml:space="preserve"> </w:t>
      </w:r>
      <w:r>
        <w:rPr>
          <w:rFonts w:hint="eastAsia" w:ascii="Calibri" w:hAnsi="Calibri" w:cs="Calibri"/>
          <w:bCs/>
          <w:sz w:val="24"/>
          <w:szCs w:val="24"/>
          <w:lang w:val="en-US"/>
        </w:rPr>
        <w:t xml:space="preserve"> 工程咨询机构应根据项目总进度计划审核设计单位的设计进度计划，并对好各阶段设计进度统筹管理，做好与报批报建、招采、施工等方面进度的搭接。</w:t>
      </w:r>
    </w:p>
    <w:p w14:paraId="5E12F9B2">
      <w:pPr>
        <w:tabs>
          <w:tab w:val="left" w:pos="312"/>
        </w:tabs>
        <w:spacing w:line="360" w:lineRule="auto"/>
        <w:ind w:firstLine="480" w:firstLineChars="200"/>
        <w:rPr>
          <w:sz w:val="24"/>
          <w:szCs w:val="24"/>
        </w:rPr>
      </w:pPr>
      <w:r>
        <w:rPr>
          <w:rFonts w:hint="eastAsia"/>
          <w:sz w:val="24"/>
          <w:szCs w:val="24"/>
        </w:rPr>
        <w:t>5</w:t>
      </w:r>
      <w:r>
        <w:rPr>
          <w:sz w:val="24"/>
          <w:szCs w:val="24"/>
        </w:rPr>
        <w:t>.</w:t>
      </w:r>
      <w:r>
        <w:rPr>
          <w:rFonts w:hint="eastAsia"/>
          <w:sz w:val="24"/>
          <w:szCs w:val="24"/>
        </w:rPr>
        <w:t>3.4</w:t>
      </w:r>
      <w:r>
        <w:rPr>
          <w:sz w:val="24"/>
          <w:szCs w:val="24"/>
        </w:rPr>
        <w:t xml:space="preserve"> </w:t>
      </w:r>
      <w:r>
        <w:rPr>
          <w:rFonts w:hint="eastAsia"/>
          <w:sz w:val="24"/>
          <w:szCs w:val="24"/>
        </w:rPr>
        <w:t>在设计阶段，工程咨询机构的设计管理工作应包括：</w:t>
      </w:r>
    </w:p>
    <w:p w14:paraId="19021548">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根据需要协助委托方组织设计方案竞赛活动。</w:t>
      </w:r>
    </w:p>
    <w:p w14:paraId="7FF7290B">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组织各阶段的多方案技术比选与技术定案；</w:t>
      </w:r>
    </w:p>
    <w:p w14:paraId="47EE8C8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各阶段设计过程中管理与协调；</w:t>
      </w:r>
    </w:p>
    <w:p w14:paraId="2592B2F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 xml:space="preserve"> 从功能需求、技术可行性、经济合理性等角度组织各阶段设计成果的多专业、多顾问交叉审核，重点审查上一阶段审查意见的修改落实情况；</w:t>
      </w:r>
    </w:p>
    <w:p w14:paraId="07E7D0D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 xml:space="preserve"> 对超规超限项目，根据项目需求组织抗震超限审查、特殊消防设计等专项技术审查工作。</w:t>
      </w:r>
    </w:p>
    <w:p w14:paraId="6342D92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6 </w:t>
      </w:r>
      <w:r>
        <w:rPr>
          <w:rFonts w:hint="eastAsia" w:ascii="Calibri" w:hAnsi="Calibri" w:cs="Calibri"/>
          <w:bCs/>
          <w:sz w:val="24"/>
          <w:szCs w:val="24"/>
          <w:lang w:val="en-US"/>
        </w:rPr>
        <w:t xml:space="preserve"> 在施工图设计阶段，根据项目需求及合同约定组织编制技术规格书。</w:t>
      </w:r>
    </w:p>
    <w:p w14:paraId="1690ED2F">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7 </w:t>
      </w:r>
      <w:r>
        <w:rPr>
          <w:rFonts w:hint="eastAsia" w:ascii="Calibri" w:hAnsi="Calibri" w:cs="Calibri"/>
          <w:bCs/>
          <w:sz w:val="24"/>
          <w:szCs w:val="24"/>
          <w:lang w:val="en-US"/>
        </w:rPr>
        <w:t xml:space="preserve"> 组织各阶段设计成果的汇报与确认；</w:t>
      </w:r>
    </w:p>
    <w:p w14:paraId="50E7D2E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8 </w:t>
      </w:r>
      <w:r>
        <w:rPr>
          <w:rFonts w:hint="eastAsia" w:ascii="Calibri" w:hAnsi="Calibri" w:cs="Calibri"/>
          <w:bCs/>
          <w:sz w:val="24"/>
          <w:szCs w:val="24"/>
          <w:lang w:val="en-US"/>
        </w:rPr>
        <w:t xml:space="preserve"> 根据建设主管部门要求，组织各阶段设计成果的外部专家论证与报审等工作。</w:t>
      </w:r>
    </w:p>
    <w:p w14:paraId="6892D5E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9 </w:t>
      </w:r>
      <w:r>
        <w:rPr>
          <w:rFonts w:hint="eastAsia" w:ascii="Calibri" w:hAnsi="Calibri" w:cs="Calibri"/>
          <w:bCs/>
          <w:sz w:val="24"/>
          <w:szCs w:val="24"/>
          <w:lang w:val="en-US"/>
        </w:rPr>
        <w:t xml:space="preserve"> 项目采用</w:t>
      </w:r>
      <w:r>
        <w:rPr>
          <w:rFonts w:ascii="Calibri" w:hAnsi="Calibri" w:cs="Calibri"/>
          <w:bCs/>
          <w:sz w:val="24"/>
          <w:szCs w:val="24"/>
          <w:lang w:val="en-US"/>
        </w:rPr>
        <w:t>BIM</w:t>
      </w:r>
      <w:r>
        <w:rPr>
          <w:rFonts w:hint="eastAsia" w:ascii="Calibri" w:hAnsi="Calibri" w:cs="Calibri"/>
          <w:bCs/>
          <w:sz w:val="24"/>
          <w:szCs w:val="24"/>
          <w:lang w:val="en-US"/>
        </w:rPr>
        <w:t>技术时，应结合</w:t>
      </w:r>
      <w:r>
        <w:rPr>
          <w:rFonts w:ascii="Calibri" w:hAnsi="Calibri" w:cs="Calibri"/>
          <w:bCs/>
          <w:sz w:val="24"/>
          <w:szCs w:val="24"/>
          <w:lang w:val="en-US"/>
        </w:rPr>
        <w:t>BIM</w:t>
      </w:r>
      <w:r>
        <w:rPr>
          <w:rFonts w:hint="eastAsia" w:ascii="Calibri" w:hAnsi="Calibri" w:cs="Calibri"/>
          <w:bCs/>
          <w:sz w:val="24"/>
          <w:szCs w:val="24"/>
          <w:lang w:val="en-US"/>
        </w:rPr>
        <w:t>技术应用开展设计管理与设计审查。</w:t>
      </w:r>
    </w:p>
    <w:p w14:paraId="4DEA8A4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10  对设计进度进行管理，当进度出现偏差时，应及时分析原因并采取纠偏措施。</w:t>
      </w:r>
    </w:p>
    <w:p w14:paraId="64253E5C">
      <w:pPr>
        <w:tabs>
          <w:tab w:val="left" w:pos="312"/>
        </w:tabs>
        <w:spacing w:line="360" w:lineRule="auto"/>
        <w:ind w:firstLine="480" w:firstLineChars="200"/>
        <w:rPr>
          <w:sz w:val="24"/>
          <w:szCs w:val="24"/>
        </w:rPr>
      </w:pPr>
      <w:r>
        <w:rPr>
          <w:rFonts w:hint="eastAsia"/>
          <w:sz w:val="24"/>
          <w:szCs w:val="24"/>
        </w:rPr>
        <w:t>5.3.5</w:t>
      </w:r>
      <w:r>
        <w:rPr>
          <w:sz w:val="24"/>
          <w:szCs w:val="24"/>
        </w:rPr>
        <w:t xml:space="preserve"> </w:t>
      </w:r>
      <w:r>
        <w:rPr>
          <w:rFonts w:hint="eastAsia"/>
          <w:sz w:val="24"/>
          <w:szCs w:val="24"/>
        </w:rPr>
        <w:t>在专项设计阶段，工程咨询机构的设计管理工作应包括：</w:t>
      </w:r>
    </w:p>
    <w:p w14:paraId="03D62CC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会同主体设计单位进行专项策划，内容包括设计接口、设计内容、技术要求、进度计划和成果要求等；</w:t>
      </w:r>
    </w:p>
    <w:p w14:paraId="4A80DAE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分阶段组织专项设计；</w:t>
      </w:r>
    </w:p>
    <w:p w14:paraId="4C5BDA5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组织各专项设计过程中的技术比选与定案；</w:t>
      </w:r>
    </w:p>
    <w:p w14:paraId="7AD41B6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组织各专项的设计选样与封样；</w:t>
      </w:r>
    </w:p>
    <w:p w14:paraId="362D7DBE">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各专项设计过程中的管理协调；</w:t>
      </w:r>
    </w:p>
    <w:p w14:paraId="0A3DA4C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组织各专业界面衔接处的条件提资，从功能需求、技术可行性、经济合理性等角度组织设计成果多专业、多顾问交叉审核；</w:t>
      </w:r>
    </w:p>
    <w:p w14:paraId="422AD01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7  根据建设主管部门要求，组织专项设计成果的论证与报审。</w:t>
      </w:r>
    </w:p>
    <w:p w14:paraId="7F7D1089">
      <w:pPr>
        <w:tabs>
          <w:tab w:val="left" w:pos="312"/>
        </w:tabs>
        <w:spacing w:line="360" w:lineRule="auto"/>
        <w:ind w:firstLine="480" w:firstLineChars="200"/>
        <w:rPr>
          <w:sz w:val="24"/>
          <w:szCs w:val="24"/>
        </w:rPr>
      </w:pPr>
      <w:r>
        <w:rPr>
          <w:rFonts w:hint="eastAsia"/>
          <w:sz w:val="24"/>
          <w:szCs w:val="24"/>
        </w:rPr>
        <w:t>5</w:t>
      </w:r>
      <w:r>
        <w:rPr>
          <w:sz w:val="24"/>
          <w:szCs w:val="24"/>
        </w:rPr>
        <w:t>.3.</w:t>
      </w:r>
      <w:r>
        <w:rPr>
          <w:rFonts w:hint="eastAsia"/>
          <w:sz w:val="24"/>
          <w:szCs w:val="24"/>
        </w:rPr>
        <w:t>6</w:t>
      </w:r>
      <w:r>
        <w:rPr>
          <w:sz w:val="24"/>
          <w:szCs w:val="24"/>
        </w:rPr>
        <w:t xml:space="preserve"> </w:t>
      </w:r>
      <w:r>
        <w:rPr>
          <w:rFonts w:hint="eastAsia"/>
          <w:sz w:val="24"/>
          <w:szCs w:val="24"/>
        </w:rPr>
        <w:t>在施工阶段，工程咨询机构的勘察管理工作应包括：</w:t>
      </w:r>
    </w:p>
    <w:p w14:paraId="7BF05B5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组织勘察单位与设计单位、施工单位、监测单位的衔接配合；</w:t>
      </w:r>
    </w:p>
    <w:p w14:paraId="4EED174F">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组织勘察单位参加地基基础等验收工作；</w:t>
      </w:r>
    </w:p>
    <w:p w14:paraId="78A41188">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当实际地质条件与原勘查资料不一致、或施工过程出现边坡失稳等特殊情形时，工程咨询机构宜组织工程勘察单位开展专项勘查或施工补勘。</w:t>
      </w:r>
    </w:p>
    <w:p w14:paraId="14D07CF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w:t>
      </w:r>
      <w:r>
        <w:rPr>
          <w:rFonts w:ascii="Calibri" w:hAnsi="Calibri" w:cs="Calibri"/>
          <w:bCs/>
          <w:sz w:val="24"/>
          <w:szCs w:val="24"/>
          <w:lang w:val="en-US"/>
        </w:rPr>
        <w:t xml:space="preserve"> </w:t>
      </w:r>
      <w:r>
        <w:rPr>
          <w:rFonts w:hint="eastAsia" w:ascii="Calibri" w:hAnsi="Calibri" w:cs="Calibri"/>
          <w:bCs/>
          <w:sz w:val="24"/>
          <w:szCs w:val="24"/>
          <w:lang w:val="en-US"/>
        </w:rPr>
        <w:t xml:space="preserve"> 若勘察过程中发现文物、地下工程管线、矿藏等事项，工程咨询机构应及时向相关部门汇报，并督促工程勘察单位采取相应保护措施。</w:t>
      </w:r>
    </w:p>
    <w:p w14:paraId="49417475">
      <w:pPr>
        <w:tabs>
          <w:tab w:val="left" w:pos="312"/>
        </w:tabs>
        <w:spacing w:line="360" w:lineRule="auto"/>
        <w:ind w:firstLine="480" w:firstLineChars="200"/>
        <w:rPr>
          <w:sz w:val="24"/>
          <w:szCs w:val="24"/>
        </w:rPr>
      </w:pPr>
      <w:r>
        <w:rPr>
          <w:rFonts w:hint="eastAsia"/>
          <w:sz w:val="24"/>
          <w:szCs w:val="24"/>
        </w:rPr>
        <w:t>5</w:t>
      </w:r>
      <w:r>
        <w:rPr>
          <w:sz w:val="24"/>
          <w:szCs w:val="24"/>
        </w:rPr>
        <w:t>.</w:t>
      </w:r>
      <w:r>
        <w:rPr>
          <w:rFonts w:hint="eastAsia"/>
          <w:sz w:val="24"/>
          <w:szCs w:val="24"/>
        </w:rPr>
        <w:t>3.7</w:t>
      </w:r>
      <w:r>
        <w:rPr>
          <w:sz w:val="24"/>
          <w:szCs w:val="24"/>
        </w:rPr>
        <w:t xml:space="preserve"> </w:t>
      </w:r>
      <w:r>
        <w:rPr>
          <w:rFonts w:hint="eastAsia"/>
          <w:sz w:val="24"/>
          <w:szCs w:val="24"/>
        </w:rPr>
        <w:t>在施工阶段，工程咨询机构的设计管理工作应包括：</w:t>
      </w:r>
    </w:p>
    <w:p w14:paraId="6F1D95A0">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组织设计交底及图纸会审；</w:t>
      </w:r>
    </w:p>
    <w:p w14:paraId="5D021542">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2</w:t>
      </w:r>
      <w:r>
        <w:rPr>
          <w:rFonts w:hint="eastAsia" w:ascii="Calibri" w:hAnsi="Calibri" w:cs="Calibri"/>
          <w:bCs/>
          <w:sz w:val="24"/>
          <w:szCs w:val="24"/>
          <w:lang w:val="en-US"/>
        </w:rPr>
        <w:t xml:space="preserve">  设计图纸版本收发及版本管理；</w:t>
      </w:r>
    </w:p>
    <w:p w14:paraId="33F661D0">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3</w:t>
      </w:r>
      <w:r>
        <w:rPr>
          <w:rFonts w:hint="eastAsia" w:ascii="Calibri" w:hAnsi="Calibri" w:cs="Calibri"/>
          <w:bCs/>
          <w:sz w:val="24"/>
          <w:szCs w:val="24"/>
          <w:lang w:val="en-US"/>
        </w:rPr>
        <w:t xml:space="preserve">  设计变更、技术核定的审核与管理；</w:t>
      </w:r>
    </w:p>
    <w:p w14:paraId="0E13446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4</w:t>
      </w:r>
      <w:r>
        <w:rPr>
          <w:rFonts w:hint="eastAsia" w:ascii="Calibri" w:hAnsi="Calibri" w:cs="Calibri"/>
          <w:bCs/>
          <w:sz w:val="24"/>
          <w:szCs w:val="24"/>
          <w:lang w:val="en-US"/>
        </w:rPr>
        <w:t xml:space="preserve">  深化设计的组织与协调管理；</w:t>
      </w:r>
    </w:p>
    <w:p w14:paraId="1434D79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组织施工阶段材料样品样板的选样与封样；</w:t>
      </w:r>
    </w:p>
    <w:p w14:paraId="4A3FE5CB">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6</w:t>
      </w:r>
      <w:r>
        <w:rPr>
          <w:rFonts w:hint="eastAsia" w:ascii="Calibri" w:hAnsi="Calibri" w:cs="Calibri"/>
          <w:bCs/>
          <w:sz w:val="24"/>
          <w:szCs w:val="24"/>
          <w:lang w:val="en-US"/>
        </w:rPr>
        <w:t xml:space="preserve">  组织设计单位、施工单位之间的技术协调管理；</w:t>
      </w:r>
    </w:p>
    <w:p w14:paraId="105F751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7</w:t>
      </w:r>
      <w:r>
        <w:rPr>
          <w:rFonts w:hint="eastAsia" w:ascii="Calibri" w:hAnsi="Calibri" w:cs="Calibri"/>
          <w:bCs/>
          <w:sz w:val="24"/>
          <w:szCs w:val="24"/>
          <w:lang w:val="en-US"/>
        </w:rPr>
        <w:t xml:space="preserve">  组织设计单位参与分部工程验收、竣工验收。</w:t>
      </w:r>
    </w:p>
    <w:p w14:paraId="0577DE68">
      <w:pPr>
        <w:spacing w:line="360" w:lineRule="auto"/>
        <w:ind w:left="420" w:leftChars="200"/>
        <w:outlineLvl w:val="1"/>
        <w:rPr>
          <w:b/>
          <w:bCs/>
          <w:sz w:val="28"/>
          <w:szCs w:val="32"/>
        </w:rPr>
      </w:pPr>
      <w:bookmarkStart w:id="27" w:name="_Toc190875425"/>
      <w:r>
        <w:rPr>
          <w:rFonts w:hint="eastAsia"/>
          <w:b/>
          <w:bCs/>
          <w:sz w:val="28"/>
          <w:szCs w:val="32"/>
        </w:rPr>
        <w:t>5</w:t>
      </w:r>
      <w:r>
        <w:rPr>
          <w:b/>
          <w:bCs/>
          <w:sz w:val="28"/>
          <w:szCs w:val="32"/>
        </w:rPr>
        <w:t>.</w:t>
      </w:r>
      <w:r>
        <w:rPr>
          <w:rFonts w:hint="eastAsia"/>
          <w:b/>
          <w:bCs/>
          <w:sz w:val="28"/>
          <w:szCs w:val="32"/>
        </w:rPr>
        <w:t>4</w:t>
      </w:r>
      <w:r>
        <w:rPr>
          <w:b/>
          <w:bCs/>
          <w:sz w:val="28"/>
          <w:szCs w:val="32"/>
        </w:rPr>
        <w:t xml:space="preserve"> </w:t>
      </w:r>
      <w:r>
        <w:rPr>
          <w:rFonts w:hint="eastAsia"/>
          <w:b/>
          <w:bCs/>
          <w:sz w:val="28"/>
          <w:szCs w:val="32"/>
        </w:rPr>
        <w:t>工程采购咨询</w:t>
      </w:r>
      <w:bookmarkEnd w:id="27"/>
    </w:p>
    <w:p w14:paraId="46E06201">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.1</w:t>
      </w:r>
      <w:r>
        <w:rPr>
          <w:rFonts w:hint="eastAsia" w:ascii="宋体" w:hAnsi="宋体" w:cs="Calibri"/>
          <w:sz w:val="24"/>
          <w:szCs w:val="24"/>
        </w:rPr>
        <w:t>工程采购可分为服务类招标采购、设备物资类招标采购和工程类招标采购。</w:t>
      </w:r>
    </w:p>
    <w:p w14:paraId="01389D78">
      <w:pPr>
        <w:tabs>
          <w:tab w:val="left" w:pos="312"/>
        </w:tabs>
        <w:spacing w:line="360" w:lineRule="auto"/>
        <w:ind w:firstLine="480" w:firstLineChars="200"/>
        <w:rPr>
          <w:rFonts w:hint="eastAsia" w:ascii="宋体" w:hAnsi="宋体"/>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4.2 工程</w:t>
      </w:r>
      <w:r>
        <w:rPr>
          <w:rFonts w:hint="eastAsia" w:ascii="Times New Roman" w:hAnsi="Times New Roman"/>
          <w:sz w:val="24"/>
        </w:rPr>
        <w:t>咨询机构</w:t>
      </w:r>
      <w:r>
        <w:rPr>
          <w:rFonts w:hint="eastAsia" w:ascii="宋体" w:hAnsi="宋体"/>
          <w:sz w:val="24"/>
          <w:szCs w:val="24"/>
        </w:rPr>
        <w:t>应依据合同约定，结合项目实际情况，对招标采购进行总体策划和统筹安排，编制招标采购总体策划方案，内容包括：</w:t>
      </w:r>
    </w:p>
    <w:p w14:paraId="73FDA67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对相关条件进行全面分析，包括：适用法律法规、采购标的类型、规模和复杂程度、进度要求、设计工作进展及设计文件深度、采购管理环境、委托方内部管理要求、市场供需及竞争状况、相关风险等；</w:t>
      </w:r>
    </w:p>
    <w:p w14:paraId="64E7DA9A">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开展项目合约规划，确定合同架构和标段划分；</w:t>
      </w:r>
    </w:p>
    <w:p w14:paraId="2DBA3451">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明确工作界面，合理划分总承包与专业分包之间、各专业分包之间及各标段之间的工作范围；</w:t>
      </w:r>
    </w:p>
    <w:p w14:paraId="5B75D041">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 xml:space="preserve"> 组织编制招标计划，确定各标段招标采购任务的工作时序和总体进度安排；</w:t>
      </w:r>
    </w:p>
    <w:p w14:paraId="51C33CBB">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 xml:space="preserve"> 选择合理的招标采购模式及合同模式。</w:t>
      </w:r>
    </w:p>
    <w:p w14:paraId="2570F9D3">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w:t>
      </w:r>
      <w:r>
        <w:rPr>
          <w:rFonts w:hint="eastAsia" w:ascii="宋体" w:hAnsi="宋体" w:cs="Calibri"/>
          <w:sz w:val="24"/>
          <w:szCs w:val="24"/>
        </w:rPr>
        <w:t>3</w:t>
      </w:r>
      <w:r>
        <w:rPr>
          <w:rFonts w:ascii="宋体" w:hAnsi="宋体" w:cs="Calibri"/>
          <w:sz w:val="24"/>
          <w:szCs w:val="24"/>
        </w:rPr>
        <w:t xml:space="preserve"> </w:t>
      </w:r>
      <w:r>
        <w:rPr>
          <w:rFonts w:hint="eastAsia" w:ascii="宋体" w:hAnsi="宋体" w:cs="Calibri"/>
          <w:sz w:val="24"/>
          <w:szCs w:val="24"/>
        </w:rPr>
        <w:t>工程</w:t>
      </w:r>
      <w:r>
        <w:rPr>
          <w:rFonts w:hint="eastAsia" w:ascii="Times New Roman" w:hAnsi="Times New Roman"/>
          <w:sz w:val="24"/>
        </w:rPr>
        <w:t>咨询机构</w:t>
      </w:r>
      <w:r>
        <w:rPr>
          <w:rFonts w:hint="eastAsia" w:ascii="宋体" w:hAnsi="宋体" w:cs="Calibri"/>
          <w:sz w:val="24"/>
          <w:szCs w:val="24"/>
        </w:rPr>
        <w:t>应根据招标采购总体策划方案，对项目的具体工程采购任务进行策划，内容包括：</w:t>
      </w:r>
    </w:p>
    <w:p w14:paraId="7A2CE6E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确定工程采购范围及内容、期限（施工工期、服务周期或货物交付时间）；</w:t>
      </w:r>
    </w:p>
    <w:p w14:paraId="27A2D7D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确定工程采购方式；</w:t>
      </w:r>
    </w:p>
    <w:p w14:paraId="2D3EA49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明确资质资格条件、业绩要求、人员要求、评标</w:t>
      </w:r>
      <w:r>
        <w:rPr>
          <w:rFonts w:ascii="Calibri" w:hAnsi="Calibri" w:cs="Calibri"/>
          <w:bCs/>
          <w:sz w:val="24"/>
          <w:szCs w:val="24"/>
          <w:lang w:val="en-US"/>
        </w:rPr>
        <w:t>/</w:t>
      </w:r>
      <w:r>
        <w:rPr>
          <w:rFonts w:hint="eastAsia" w:ascii="Calibri" w:hAnsi="Calibri" w:cs="Calibri"/>
          <w:bCs/>
          <w:sz w:val="24"/>
          <w:szCs w:val="24"/>
          <w:lang w:val="en-US"/>
        </w:rPr>
        <w:t>定标方法以及具体的工程采购时间安排、工程采购平台等工程采购关键事项；</w:t>
      </w:r>
    </w:p>
    <w:p w14:paraId="573C7CF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 xml:space="preserve"> 确定招标控制价，以及报价要求；</w:t>
      </w:r>
    </w:p>
    <w:p w14:paraId="4692AFE0">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 xml:space="preserve"> 确定计价方式、支付条件及方式；</w:t>
      </w:r>
    </w:p>
    <w:p w14:paraId="0471FB4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6</w:t>
      </w:r>
      <w:r>
        <w:rPr>
          <w:rFonts w:hint="eastAsia" w:ascii="Calibri" w:hAnsi="Calibri" w:cs="Calibri"/>
          <w:bCs/>
          <w:sz w:val="24"/>
          <w:szCs w:val="24"/>
          <w:lang w:val="en-US"/>
        </w:rPr>
        <w:t xml:space="preserve"> </w:t>
      </w:r>
      <w:r>
        <w:rPr>
          <w:rFonts w:ascii="Calibri" w:hAnsi="Calibri" w:cs="Calibri"/>
          <w:bCs/>
          <w:sz w:val="24"/>
          <w:szCs w:val="24"/>
          <w:lang w:val="en-US"/>
        </w:rPr>
        <w:t xml:space="preserve"> </w:t>
      </w:r>
      <w:r>
        <w:rPr>
          <w:rFonts w:hint="eastAsia" w:ascii="Calibri" w:hAnsi="Calibri" w:cs="Calibri"/>
          <w:bCs/>
          <w:sz w:val="24"/>
          <w:szCs w:val="24"/>
          <w:lang w:val="en-US"/>
        </w:rPr>
        <w:t>明确工程管理要求，拟定材料、设备的技术要求等，以及招标人其他的对中标单位的综合管理要求；</w:t>
      </w:r>
    </w:p>
    <w:p w14:paraId="23C23AB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7 </w:t>
      </w:r>
      <w:r>
        <w:rPr>
          <w:rFonts w:hint="eastAsia" w:ascii="Calibri" w:hAnsi="Calibri" w:cs="Calibri"/>
          <w:bCs/>
          <w:sz w:val="24"/>
          <w:szCs w:val="24"/>
          <w:lang w:val="en-US"/>
        </w:rPr>
        <w:t xml:space="preserve"> 明确违约责任、风险分摊及其他合同关键条款；</w:t>
      </w:r>
    </w:p>
    <w:p w14:paraId="6D529F52">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8 </w:t>
      </w:r>
      <w:r>
        <w:rPr>
          <w:rFonts w:hint="eastAsia" w:ascii="Calibri" w:hAnsi="Calibri" w:cs="Calibri"/>
          <w:bCs/>
          <w:sz w:val="24"/>
          <w:szCs w:val="24"/>
          <w:lang w:val="en-US"/>
        </w:rPr>
        <w:t xml:space="preserve"> 编制采购方案，起草招标文件及合同文本。</w:t>
      </w:r>
    </w:p>
    <w:p w14:paraId="15B6F2C5">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 xml:space="preserve">  </w:t>
      </w:r>
      <w:r>
        <w:rPr>
          <w:rFonts w:hint="eastAsia" w:ascii="宋体" w:hAnsi="宋体" w:cs="Calibri"/>
          <w:sz w:val="24"/>
          <w:szCs w:val="24"/>
        </w:rPr>
        <w:t>工程</w:t>
      </w:r>
      <w:r>
        <w:rPr>
          <w:rFonts w:hint="eastAsia" w:ascii="Times New Roman" w:hAnsi="Times New Roman"/>
          <w:sz w:val="24"/>
        </w:rPr>
        <w:t>咨询机构</w:t>
      </w:r>
      <w:r>
        <w:rPr>
          <w:rFonts w:hint="eastAsia" w:ascii="宋体" w:hAnsi="宋体" w:cs="Calibri"/>
          <w:sz w:val="24"/>
          <w:szCs w:val="24"/>
        </w:rPr>
        <w:t>应根据合同约定，组织落实各项工程采购工作，内容包括；</w:t>
      </w:r>
    </w:p>
    <w:p w14:paraId="268C2B4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督促设计单位及时完成并提供相关设计及技术文件；</w:t>
      </w:r>
    </w:p>
    <w:p w14:paraId="6A656071">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督促造价咨询单位及时完成“</w:t>
      </w:r>
      <w:r>
        <w:rPr>
          <w:rFonts w:ascii="Calibri" w:hAnsi="Calibri" w:cs="Calibri"/>
          <w:bCs/>
          <w:sz w:val="24"/>
          <w:szCs w:val="24"/>
          <w:lang w:val="en-US"/>
        </w:rPr>
        <w:t>6.5</w:t>
      </w:r>
      <w:r>
        <w:rPr>
          <w:rFonts w:hint="eastAsia" w:ascii="Calibri" w:hAnsi="Calibri" w:cs="Calibri"/>
          <w:bCs/>
          <w:sz w:val="24"/>
          <w:szCs w:val="24"/>
          <w:lang w:val="en-US"/>
        </w:rPr>
        <w:t>工程造价咨询”所述与工程采购相关的造价咨询工作，并提供所需的工程量清单、招标控制价等成果文件；</w:t>
      </w:r>
    </w:p>
    <w:p w14:paraId="4E31AF7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组织或配合进行招标方案报审，经批准后实施；</w:t>
      </w:r>
    </w:p>
    <w:p w14:paraId="6325F91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组织编制并发布招标（资格预审）公告、招标文件；</w:t>
      </w:r>
    </w:p>
    <w:p w14:paraId="42D2E24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组织进行招标采购答疑和澄清；</w:t>
      </w:r>
    </w:p>
    <w:p w14:paraId="2F3F39E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6 </w:t>
      </w:r>
      <w:r>
        <w:rPr>
          <w:rFonts w:hint="eastAsia" w:ascii="Calibri" w:hAnsi="Calibri" w:cs="Calibri"/>
          <w:bCs/>
          <w:sz w:val="24"/>
          <w:szCs w:val="24"/>
          <w:lang w:val="en-US"/>
        </w:rPr>
        <w:t xml:space="preserve"> 组织进行开标、回标分析及清标工作，组织进行评标和定标工作；</w:t>
      </w:r>
    </w:p>
    <w:p w14:paraId="279CF550">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7  </w:t>
      </w:r>
      <w:r>
        <w:rPr>
          <w:rFonts w:hint="eastAsia" w:ascii="Calibri" w:hAnsi="Calibri" w:cs="Calibri"/>
          <w:bCs/>
          <w:sz w:val="24"/>
          <w:szCs w:val="24"/>
          <w:lang w:val="en-US"/>
        </w:rPr>
        <w:t>组织发布中标公告，发送中标通知书；</w:t>
      </w:r>
    </w:p>
    <w:p w14:paraId="4B7BBFD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8  </w:t>
      </w:r>
      <w:r>
        <w:rPr>
          <w:rFonts w:hint="eastAsia" w:ascii="Calibri" w:hAnsi="Calibri" w:cs="Calibri"/>
          <w:bCs/>
          <w:sz w:val="24"/>
          <w:szCs w:val="24"/>
          <w:lang w:val="en-US"/>
        </w:rPr>
        <w:t>整理并归档项目招标材料；</w:t>
      </w:r>
    </w:p>
    <w:p w14:paraId="657BD41A">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9  </w:t>
      </w:r>
      <w:r>
        <w:rPr>
          <w:rFonts w:hint="eastAsia" w:ascii="Calibri" w:hAnsi="Calibri" w:cs="Calibri"/>
          <w:bCs/>
          <w:sz w:val="24"/>
          <w:szCs w:val="24"/>
          <w:lang w:val="en-US"/>
        </w:rPr>
        <w:t>向主管部门进行招标结果备案；</w:t>
      </w:r>
    </w:p>
    <w:p w14:paraId="5A84D55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10 </w:t>
      </w:r>
      <w:r>
        <w:rPr>
          <w:rFonts w:hint="eastAsia" w:ascii="Calibri" w:hAnsi="Calibri" w:cs="Calibri"/>
          <w:bCs/>
          <w:sz w:val="24"/>
          <w:szCs w:val="24"/>
          <w:lang w:val="en-US"/>
        </w:rPr>
        <w:t xml:space="preserve"> 督促中标单位办理履约担保（如有）等相关事项；</w:t>
      </w:r>
    </w:p>
    <w:p w14:paraId="34F95A0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11 </w:t>
      </w:r>
      <w:r>
        <w:rPr>
          <w:rFonts w:hint="eastAsia" w:ascii="Calibri" w:hAnsi="Calibri" w:cs="Calibri"/>
          <w:bCs/>
          <w:sz w:val="24"/>
          <w:szCs w:val="24"/>
          <w:lang w:val="en-US"/>
        </w:rPr>
        <w:t xml:space="preserve"> 协助开展合同谈判和签订工作；</w:t>
      </w:r>
    </w:p>
    <w:p w14:paraId="5CFF75D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12 </w:t>
      </w:r>
      <w:r>
        <w:rPr>
          <w:rFonts w:hint="eastAsia" w:ascii="Calibri" w:hAnsi="Calibri" w:cs="Calibri"/>
          <w:bCs/>
          <w:sz w:val="24"/>
          <w:szCs w:val="24"/>
          <w:lang w:val="en-US"/>
        </w:rPr>
        <w:t xml:space="preserve"> 督促中标单位按招标文件及合同约定进场并开展工作。</w:t>
      </w:r>
    </w:p>
    <w:p w14:paraId="4F5894E4">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w:t>
      </w:r>
      <w:r>
        <w:rPr>
          <w:rFonts w:hint="eastAsia" w:ascii="宋体" w:hAnsi="宋体" w:cs="Calibri"/>
          <w:sz w:val="24"/>
          <w:szCs w:val="24"/>
        </w:rPr>
        <w:t>5</w:t>
      </w:r>
      <w:r>
        <w:rPr>
          <w:rFonts w:ascii="宋体" w:hAnsi="宋体" w:cs="Calibri"/>
          <w:sz w:val="24"/>
          <w:szCs w:val="24"/>
        </w:rPr>
        <w:t xml:space="preserve"> </w:t>
      </w:r>
      <w:r>
        <w:rPr>
          <w:rFonts w:hint="eastAsia" w:ascii="宋体" w:hAnsi="宋体" w:cs="Calibri"/>
          <w:sz w:val="24"/>
          <w:szCs w:val="24"/>
        </w:rPr>
        <w:t>工程</w:t>
      </w:r>
      <w:r>
        <w:rPr>
          <w:rFonts w:hint="eastAsia" w:ascii="Times New Roman" w:hAnsi="Times New Roman"/>
          <w:sz w:val="24"/>
        </w:rPr>
        <w:t>咨询机构</w:t>
      </w:r>
      <w:r>
        <w:rPr>
          <w:rFonts w:hint="eastAsia" w:ascii="宋体" w:hAnsi="宋体" w:cs="Calibri"/>
          <w:sz w:val="24"/>
          <w:szCs w:val="24"/>
        </w:rPr>
        <w:t>应跟进相关中标单位的进场和履约情况，并根据合同约定和相关管理制度进行履约跟踪和评价。</w:t>
      </w:r>
    </w:p>
    <w:p w14:paraId="1454DC3A">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w:t>
      </w:r>
      <w:r>
        <w:rPr>
          <w:rFonts w:hint="eastAsia" w:ascii="宋体" w:hAnsi="宋体" w:cs="Calibri"/>
          <w:sz w:val="24"/>
          <w:szCs w:val="24"/>
        </w:rPr>
        <w:t>6</w:t>
      </w:r>
      <w:r>
        <w:rPr>
          <w:rFonts w:ascii="宋体" w:hAnsi="宋体" w:cs="Calibri"/>
          <w:sz w:val="24"/>
          <w:szCs w:val="24"/>
        </w:rPr>
        <w:t xml:space="preserve"> </w:t>
      </w:r>
      <w:r>
        <w:rPr>
          <w:rFonts w:hint="eastAsia" w:ascii="宋体" w:hAnsi="宋体" w:cs="Calibri"/>
          <w:sz w:val="24"/>
          <w:szCs w:val="24"/>
        </w:rPr>
        <w:t>工程</w:t>
      </w:r>
      <w:r>
        <w:rPr>
          <w:rFonts w:hint="eastAsia" w:ascii="Times New Roman" w:hAnsi="Times New Roman"/>
          <w:sz w:val="24"/>
        </w:rPr>
        <w:t>咨询机构</w:t>
      </w:r>
      <w:r>
        <w:rPr>
          <w:rFonts w:hint="eastAsia" w:ascii="宋体" w:hAnsi="宋体" w:cs="Calibri"/>
          <w:sz w:val="24"/>
          <w:szCs w:val="24"/>
        </w:rPr>
        <w:t>应建立工程采购管理台账，并动态更新。</w:t>
      </w:r>
    </w:p>
    <w:p w14:paraId="1691580B">
      <w:pPr>
        <w:adjustRightInd w:val="0"/>
        <w:snapToGrid w:val="0"/>
        <w:spacing w:line="360" w:lineRule="auto"/>
        <w:ind w:firstLine="480" w:firstLineChars="200"/>
        <w:rPr>
          <w:rFonts w:hint="eastAsia" w:ascii="宋体" w:hAnsi="宋体" w:cs="Calibri"/>
          <w:sz w:val="24"/>
          <w:szCs w:val="24"/>
        </w:rPr>
      </w:pPr>
      <w:r>
        <w:rPr>
          <w:rFonts w:hint="eastAsia" w:ascii="宋体" w:hAnsi="宋体" w:cs="Calibri"/>
          <w:sz w:val="24"/>
          <w:szCs w:val="24"/>
        </w:rPr>
        <w:t>5</w:t>
      </w:r>
      <w:r>
        <w:rPr>
          <w:rFonts w:ascii="宋体" w:hAnsi="宋体" w:cs="Calibri"/>
          <w:sz w:val="24"/>
          <w:szCs w:val="24"/>
        </w:rPr>
        <w:t>.</w:t>
      </w:r>
      <w:r>
        <w:rPr>
          <w:rFonts w:hint="eastAsia" w:ascii="宋体" w:hAnsi="宋体" w:cs="Calibri"/>
          <w:sz w:val="24"/>
          <w:szCs w:val="24"/>
        </w:rPr>
        <w:t>4</w:t>
      </w:r>
      <w:r>
        <w:rPr>
          <w:rFonts w:ascii="宋体" w:hAnsi="宋体" w:cs="Calibri"/>
          <w:sz w:val="24"/>
          <w:szCs w:val="24"/>
        </w:rPr>
        <w:t>.</w:t>
      </w:r>
      <w:r>
        <w:rPr>
          <w:rFonts w:hint="eastAsia" w:ascii="宋体" w:hAnsi="宋体" w:cs="Calibri"/>
          <w:sz w:val="24"/>
          <w:szCs w:val="24"/>
        </w:rPr>
        <w:t>7</w:t>
      </w:r>
      <w:r>
        <w:rPr>
          <w:rFonts w:ascii="宋体" w:hAnsi="宋体" w:cs="Calibri"/>
          <w:sz w:val="24"/>
          <w:szCs w:val="24"/>
        </w:rPr>
        <w:t xml:space="preserve"> </w:t>
      </w:r>
      <w:r>
        <w:rPr>
          <w:rFonts w:hint="eastAsia" w:ascii="宋体" w:hAnsi="宋体" w:cs="Calibri"/>
          <w:sz w:val="24"/>
          <w:szCs w:val="24"/>
        </w:rPr>
        <w:t>工程</w:t>
      </w:r>
      <w:r>
        <w:rPr>
          <w:rFonts w:hint="eastAsia" w:ascii="Times New Roman" w:hAnsi="Times New Roman"/>
          <w:sz w:val="24"/>
        </w:rPr>
        <w:t>咨询机构</w:t>
      </w:r>
      <w:r>
        <w:rPr>
          <w:rFonts w:hint="eastAsia" w:ascii="宋体" w:hAnsi="宋体" w:cs="Calibri"/>
          <w:sz w:val="24"/>
          <w:szCs w:val="24"/>
        </w:rPr>
        <w:t>应根据合同约定及项目实际情况，及时、准确、完整地将工程采购过程中所形成的咨询成果文件进行收集、整理、编制、传递、归档，并向</w:t>
      </w:r>
      <w:r>
        <w:rPr>
          <w:rFonts w:hint="eastAsia"/>
          <w:sz w:val="24"/>
          <w:szCs w:val="24"/>
        </w:rPr>
        <w:t>委托方</w:t>
      </w:r>
      <w:r>
        <w:rPr>
          <w:rFonts w:hint="eastAsia" w:ascii="宋体" w:hAnsi="宋体" w:cs="Calibri"/>
          <w:sz w:val="24"/>
          <w:szCs w:val="24"/>
        </w:rPr>
        <w:t>移交。</w:t>
      </w:r>
    </w:p>
    <w:p w14:paraId="2B118708">
      <w:pPr>
        <w:spacing w:line="360" w:lineRule="auto"/>
        <w:ind w:left="420" w:leftChars="200"/>
        <w:outlineLvl w:val="1"/>
        <w:rPr>
          <w:b/>
          <w:bCs/>
          <w:sz w:val="28"/>
          <w:szCs w:val="32"/>
        </w:rPr>
      </w:pPr>
      <w:bookmarkStart w:id="28" w:name="_Toc190875426"/>
      <w:r>
        <w:rPr>
          <w:rFonts w:hint="eastAsia"/>
          <w:b/>
          <w:bCs/>
          <w:sz w:val="28"/>
          <w:szCs w:val="32"/>
        </w:rPr>
        <w:t>5</w:t>
      </w:r>
      <w:r>
        <w:rPr>
          <w:b/>
          <w:bCs/>
          <w:sz w:val="28"/>
          <w:szCs w:val="32"/>
        </w:rPr>
        <w:t>.</w:t>
      </w:r>
      <w:r>
        <w:rPr>
          <w:rFonts w:hint="eastAsia"/>
          <w:b/>
          <w:bCs/>
          <w:sz w:val="28"/>
          <w:szCs w:val="32"/>
        </w:rPr>
        <w:t>5</w:t>
      </w:r>
      <w:r>
        <w:rPr>
          <w:b/>
          <w:bCs/>
          <w:sz w:val="28"/>
          <w:szCs w:val="32"/>
        </w:rPr>
        <w:t xml:space="preserve"> </w:t>
      </w:r>
      <w:r>
        <w:rPr>
          <w:rFonts w:hint="eastAsia"/>
          <w:b/>
          <w:bCs/>
          <w:sz w:val="28"/>
          <w:szCs w:val="32"/>
        </w:rPr>
        <w:t>工程监理</w:t>
      </w:r>
      <w:bookmarkEnd w:id="28"/>
    </w:p>
    <w:p w14:paraId="5A761472">
      <w:pPr>
        <w:adjustRightInd w:val="0"/>
        <w:snapToGrid w:val="0"/>
        <w:spacing w:line="360" w:lineRule="auto"/>
        <w:ind w:firstLine="480" w:firstLineChars="200"/>
        <w:rPr>
          <w:rFonts w:cs="Calibri"/>
          <w:sz w:val="24"/>
          <w:szCs w:val="24"/>
        </w:rPr>
      </w:pPr>
      <w:r>
        <w:rPr>
          <w:rFonts w:hint="eastAsia" w:cs="Calibri"/>
          <w:sz w:val="24"/>
          <w:szCs w:val="24"/>
        </w:rPr>
        <w:t>5</w:t>
      </w:r>
      <w:r>
        <w:rPr>
          <w:rFonts w:cs="Calibri"/>
          <w:sz w:val="24"/>
          <w:szCs w:val="24"/>
        </w:rPr>
        <w:t>.</w:t>
      </w:r>
      <w:r>
        <w:rPr>
          <w:rFonts w:hint="eastAsia" w:cs="Calibri"/>
          <w:sz w:val="24"/>
          <w:szCs w:val="24"/>
        </w:rPr>
        <w:t>5</w:t>
      </w:r>
      <w:r>
        <w:rPr>
          <w:rFonts w:cs="Calibri"/>
          <w:sz w:val="24"/>
          <w:szCs w:val="24"/>
        </w:rPr>
        <w:t>.1</w:t>
      </w:r>
      <w:r>
        <w:rPr>
          <w:rFonts w:hint="eastAsia" w:cs="Calibri"/>
          <w:sz w:val="24"/>
          <w:szCs w:val="24"/>
        </w:rPr>
        <w:t>工程监理企业实施工程监理工作应符合《建设工程监理规范》（</w:t>
      </w:r>
      <w:r>
        <w:rPr>
          <w:rFonts w:cs="Calibri"/>
          <w:sz w:val="24"/>
          <w:szCs w:val="24"/>
        </w:rPr>
        <w:t>GB/T 50319</w:t>
      </w:r>
      <w:r>
        <w:rPr>
          <w:rFonts w:hint="eastAsia" w:cs="Calibri"/>
          <w:sz w:val="24"/>
          <w:szCs w:val="24"/>
        </w:rPr>
        <w:t>）等国家及地方现行相关法律法规、规范和标准，符合当地主管部门及</w:t>
      </w:r>
      <w:r>
        <w:rPr>
          <w:rFonts w:hint="eastAsia"/>
          <w:sz w:val="24"/>
          <w:szCs w:val="24"/>
        </w:rPr>
        <w:t>委托方</w:t>
      </w:r>
      <w:r>
        <w:rPr>
          <w:rFonts w:hint="eastAsia" w:cs="Calibri"/>
          <w:sz w:val="24"/>
          <w:szCs w:val="24"/>
        </w:rPr>
        <w:t>内部的管理要求，并符合合同约定。</w:t>
      </w:r>
    </w:p>
    <w:p w14:paraId="7EFB51BF">
      <w:pPr>
        <w:adjustRightInd w:val="0"/>
        <w:snapToGrid w:val="0"/>
        <w:spacing w:line="360" w:lineRule="auto"/>
        <w:ind w:firstLine="480" w:firstLineChars="200"/>
        <w:rPr>
          <w:rFonts w:cs="Calibri"/>
          <w:sz w:val="24"/>
          <w:szCs w:val="24"/>
        </w:rPr>
      </w:pPr>
      <w:r>
        <w:rPr>
          <w:rFonts w:hint="eastAsia" w:cs="Calibri"/>
          <w:sz w:val="24"/>
          <w:szCs w:val="24"/>
        </w:rPr>
        <w:t>5</w:t>
      </w:r>
      <w:r>
        <w:rPr>
          <w:rFonts w:cs="Calibri"/>
          <w:sz w:val="24"/>
          <w:szCs w:val="24"/>
        </w:rPr>
        <w:t>.</w:t>
      </w:r>
      <w:r>
        <w:rPr>
          <w:rFonts w:hint="eastAsia" w:cs="Calibri"/>
          <w:sz w:val="24"/>
          <w:szCs w:val="24"/>
        </w:rPr>
        <w:t>5</w:t>
      </w:r>
      <w:r>
        <w:rPr>
          <w:rFonts w:cs="Calibri"/>
          <w:sz w:val="24"/>
          <w:szCs w:val="24"/>
        </w:rPr>
        <w:t>.2</w:t>
      </w:r>
      <w:r>
        <w:rPr>
          <w:rFonts w:hint="eastAsia" w:cs="Calibri"/>
          <w:sz w:val="24"/>
          <w:szCs w:val="24"/>
        </w:rPr>
        <w:t>工程监理主要工作内容应包括：</w:t>
      </w:r>
    </w:p>
    <w:p w14:paraId="0A7C01A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编制监理规划及监理实施细则；</w:t>
      </w:r>
    </w:p>
    <w:p w14:paraId="5258217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进行工程质量、造价、进度控制，安全生产管理的监理工作；</w:t>
      </w:r>
    </w:p>
    <w:p w14:paraId="1A09664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工程变更、索赔及施工合同争议的处理；</w:t>
      </w:r>
    </w:p>
    <w:p w14:paraId="75A51ED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 xml:space="preserve"> 监理文件资料管理；</w:t>
      </w:r>
    </w:p>
    <w:p w14:paraId="5A9CD34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 xml:space="preserve"> 设备采购与设备监造；</w:t>
      </w:r>
    </w:p>
    <w:p w14:paraId="4D632FFA">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6 </w:t>
      </w:r>
      <w:r>
        <w:rPr>
          <w:rFonts w:hint="eastAsia" w:ascii="Calibri" w:hAnsi="Calibri" w:cs="Calibri"/>
          <w:bCs/>
          <w:sz w:val="24"/>
          <w:szCs w:val="24"/>
          <w:lang w:val="en-US"/>
        </w:rPr>
        <w:t xml:space="preserve"> 工程勘察设计阶段服务、工程保修阶段服务等相关服务；</w:t>
      </w:r>
    </w:p>
    <w:p w14:paraId="71345F1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7 </w:t>
      </w:r>
      <w:r>
        <w:rPr>
          <w:rFonts w:hint="eastAsia" w:ascii="Calibri" w:hAnsi="Calibri" w:cs="Calibri"/>
          <w:bCs/>
          <w:sz w:val="24"/>
          <w:szCs w:val="24"/>
          <w:lang w:val="en-US"/>
        </w:rPr>
        <w:t xml:space="preserve"> 对工程建设相关方进行组织协调；</w:t>
      </w:r>
    </w:p>
    <w:p w14:paraId="0130C3F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8 </w:t>
      </w:r>
      <w:r>
        <w:rPr>
          <w:rFonts w:hint="eastAsia" w:ascii="Calibri" w:hAnsi="Calibri" w:cs="Calibri"/>
          <w:bCs/>
          <w:sz w:val="24"/>
          <w:szCs w:val="24"/>
          <w:lang w:val="en-US"/>
        </w:rPr>
        <w:t xml:space="preserve"> 依据合同约定，对各施工单位、材料设备供应单位的履约情况进行跟踪检查，并进行履约评价。</w:t>
      </w:r>
    </w:p>
    <w:p w14:paraId="46DA564F">
      <w:pPr>
        <w:adjustRightInd w:val="0"/>
        <w:snapToGrid w:val="0"/>
        <w:spacing w:line="360" w:lineRule="auto"/>
        <w:ind w:firstLine="480" w:firstLineChars="200"/>
        <w:rPr>
          <w:rFonts w:cs="Calibri"/>
          <w:sz w:val="24"/>
          <w:szCs w:val="24"/>
        </w:rPr>
      </w:pPr>
      <w:r>
        <w:rPr>
          <w:rFonts w:hint="eastAsia" w:cs="Calibri"/>
          <w:sz w:val="24"/>
          <w:szCs w:val="24"/>
        </w:rPr>
        <w:t>5</w:t>
      </w:r>
      <w:r>
        <w:rPr>
          <w:rFonts w:cs="Calibri"/>
          <w:sz w:val="24"/>
          <w:szCs w:val="24"/>
        </w:rPr>
        <w:t>.</w:t>
      </w:r>
      <w:r>
        <w:rPr>
          <w:rFonts w:hint="eastAsia" w:cs="Calibri"/>
          <w:sz w:val="24"/>
          <w:szCs w:val="24"/>
        </w:rPr>
        <w:t>5</w:t>
      </w:r>
      <w:r>
        <w:rPr>
          <w:rFonts w:cs="Calibri"/>
          <w:sz w:val="24"/>
          <w:szCs w:val="24"/>
        </w:rPr>
        <w:t>.3</w:t>
      </w:r>
      <w:r>
        <w:rPr>
          <w:rFonts w:hint="eastAsia" w:cs="Calibri"/>
          <w:sz w:val="24"/>
          <w:szCs w:val="24"/>
        </w:rPr>
        <w:t>工程监理企业应合理设置工程监理部与工程咨询机构内部其他专项咨询部门之间的职责分工与协作关系，合理设置总监理工程师与工程咨询项目总负责人及其他专项咨询负责人之间的管理与协作关系。</w:t>
      </w:r>
    </w:p>
    <w:p w14:paraId="412DF96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工程监理实施总监理工程师负责制，总监理工程师领导工程监理部，依法依规履行合同约定的监理职责，确保监理工作的独立性和专业性；</w:t>
      </w:r>
    </w:p>
    <w:p w14:paraId="1BC5CE8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工程咨询项目总负责人应对总监理工程师及工程监理部对总监理工程师和工程监理部行使管理职责，负责督导、支持其开展工作，协调工程监理部与其他专项咨询部门的工作关系；</w:t>
      </w:r>
    </w:p>
    <w:p w14:paraId="0E907F9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工程监理企业可依据全过程工程咨询合同委托的具体服务范围和内容，结合工程咨询机构内各部门设置及人员配备，合理调整工程监理任务中的相关工作分工，充分发挥协同效应。</w:t>
      </w:r>
    </w:p>
    <w:p w14:paraId="13E7BFA8">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4</w:t>
      </w:r>
      <w:r>
        <w:rPr>
          <w:rFonts w:hint="eastAsia" w:ascii="Calibri" w:hAnsi="Calibri" w:cs="Calibri"/>
          <w:bCs/>
          <w:sz w:val="24"/>
          <w:szCs w:val="24"/>
          <w:lang w:val="en-US"/>
        </w:rPr>
        <w:t xml:space="preserve"> </w:t>
      </w:r>
      <w:r>
        <w:rPr>
          <w:rFonts w:ascii="Calibri" w:hAnsi="Calibri" w:cs="Calibri"/>
          <w:bCs/>
          <w:sz w:val="24"/>
          <w:szCs w:val="24"/>
          <w:lang w:val="en-US"/>
        </w:rPr>
        <w:t xml:space="preserve"> </w:t>
      </w:r>
      <w:r>
        <w:rPr>
          <w:rFonts w:hint="eastAsia" w:ascii="Calibri" w:hAnsi="Calibri" w:cs="Calibri"/>
          <w:bCs/>
          <w:sz w:val="24"/>
          <w:szCs w:val="24"/>
          <w:lang w:val="en-US"/>
        </w:rPr>
        <w:t>工程监理部应积极配合其他专项咨询工作，提供必要的支持。并根据其他专项咨询部门的反馈，及时调整工程监理规划和监理细则，确保在质量、进度、造价、安全、合同及信息管理等方面实现预期目标。</w:t>
      </w:r>
    </w:p>
    <w:p w14:paraId="594F0098">
      <w:pPr>
        <w:spacing w:line="360" w:lineRule="auto"/>
        <w:ind w:left="420" w:leftChars="200"/>
        <w:outlineLvl w:val="1"/>
        <w:rPr>
          <w:b/>
          <w:bCs/>
          <w:sz w:val="28"/>
          <w:szCs w:val="32"/>
        </w:rPr>
      </w:pPr>
      <w:bookmarkStart w:id="29" w:name="_Toc190875427"/>
      <w:r>
        <w:rPr>
          <w:rFonts w:hint="eastAsia"/>
          <w:b/>
          <w:bCs/>
          <w:sz w:val="28"/>
          <w:szCs w:val="32"/>
        </w:rPr>
        <w:t>5</w:t>
      </w:r>
      <w:r>
        <w:rPr>
          <w:b/>
          <w:bCs/>
          <w:sz w:val="28"/>
          <w:szCs w:val="32"/>
        </w:rPr>
        <w:t>.</w:t>
      </w:r>
      <w:r>
        <w:rPr>
          <w:rFonts w:hint="eastAsia"/>
          <w:b/>
          <w:bCs/>
          <w:sz w:val="28"/>
          <w:szCs w:val="32"/>
        </w:rPr>
        <w:t>6</w:t>
      </w:r>
      <w:r>
        <w:rPr>
          <w:b/>
          <w:bCs/>
          <w:sz w:val="28"/>
          <w:szCs w:val="32"/>
        </w:rPr>
        <w:t xml:space="preserve"> </w:t>
      </w:r>
      <w:r>
        <w:rPr>
          <w:rFonts w:hint="eastAsia"/>
          <w:b/>
          <w:bCs/>
          <w:sz w:val="28"/>
          <w:szCs w:val="32"/>
        </w:rPr>
        <w:t>施工项目管理</w:t>
      </w:r>
      <w:bookmarkEnd w:id="29"/>
    </w:p>
    <w:p w14:paraId="2BD57ACC">
      <w:pPr>
        <w:keepNext/>
        <w:keepLines/>
        <w:spacing w:line="360" w:lineRule="auto"/>
        <w:jc w:val="left"/>
        <w:outlineLvl w:val="2"/>
        <w:rPr>
          <w:rFonts w:ascii="Times New Roman" w:hAnsi="Times New Roman"/>
          <w:b/>
          <w:bCs/>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6.</w:t>
      </w:r>
      <w:r>
        <w:rPr>
          <w:rFonts w:ascii="Times New Roman" w:hAnsi="Times New Roman"/>
          <w:b/>
          <w:bCs/>
          <w:sz w:val="24"/>
          <w:szCs w:val="24"/>
        </w:rPr>
        <w:t xml:space="preserve">1 </w:t>
      </w:r>
      <w:r>
        <w:rPr>
          <w:rFonts w:hint="eastAsia" w:ascii="Times New Roman" w:hAnsi="Times New Roman"/>
          <w:b/>
          <w:bCs/>
          <w:sz w:val="24"/>
          <w:szCs w:val="24"/>
        </w:rPr>
        <w:t>施工准备阶段</w:t>
      </w:r>
    </w:p>
    <w:p w14:paraId="075227F1">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5.6.1.1 施工前计划管理工作</w:t>
      </w:r>
    </w:p>
    <w:p w14:paraId="6E65F639">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制定施工阶段的工程管理制度和工作计划，包括质量控制（含单项、单位及分部工程质量验收计划）、进度控制（含项目总进度计划与重要节点进度目标）、投资控制、合同管理、信息管理、协调管理等内容。</w:t>
      </w:r>
    </w:p>
    <w:p w14:paraId="28935D4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编制场地使用计划，合理规划场地平整范围、临电与临水接口、施工出入口设置等方面，指导相关“七通一平”的组织工作。</w:t>
      </w:r>
    </w:p>
    <w:p w14:paraId="58137C5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审核施工单位提交的施工总进度计划。</w:t>
      </w:r>
    </w:p>
    <w:p w14:paraId="05F2B33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审核造价咨询机构制定的施工阶段资金使用计划。</w:t>
      </w:r>
    </w:p>
    <w:p w14:paraId="46D6AD7F">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.1.</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开工准备工作</w:t>
      </w:r>
    </w:p>
    <w:p w14:paraId="34CAB8A7">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编制项目施工管理工作策划，明确管理目标与实施方案；</w:t>
      </w:r>
    </w:p>
    <w:p w14:paraId="20C8E5F8">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w:t>
      </w:r>
      <w:r>
        <w:rPr>
          <w:rFonts w:ascii="Calibri" w:hAnsi="Calibri" w:cs="Calibri"/>
          <w:bCs/>
          <w:sz w:val="24"/>
          <w:szCs w:val="24"/>
          <w:lang w:val="en-US"/>
        </w:rPr>
        <w:t xml:space="preserve">  </w:t>
      </w:r>
      <w:r>
        <w:rPr>
          <w:rFonts w:hint="eastAsia" w:ascii="Calibri" w:hAnsi="Calibri" w:cs="Calibri"/>
          <w:bCs/>
          <w:sz w:val="24"/>
          <w:szCs w:val="24"/>
          <w:lang w:val="en-US"/>
        </w:rPr>
        <w:t>组织设计交底，并编写交底纪要；</w:t>
      </w:r>
    </w:p>
    <w:p w14:paraId="562B17B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w:t>
      </w:r>
      <w:r>
        <w:rPr>
          <w:rFonts w:ascii="Calibri" w:hAnsi="Calibri" w:cs="Calibri"/>
          <w:bCs/>
          <w:sz w:val="24"/>
          <w:szCs w:val="24"/>
          <w:lang w:val="en-US"/>
        </w:rPr>
        <w:t xml:space="preserve">  </w:t>
      </w:r>
      <w:r>
        <w:rPr>
          <w:rFonts w:hint="eastAsia" w:ascii="Calibri" w:hAnsi="Calibri" w:cs="Calibri"/>
          <w:bCs/>
          <w:sz w:val="24"/>
          <w:szCs w:val="24"/>
          <w:lang w:val="en-US"/>
        </w:rPr>
        <w:t>组织安全管理及制度交底，并编写交底纪要；</w:t>
      </w:r>
    </w:p>
    <w:p w14:paraId="4E3978E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w:t>
      </w:r>
      <w:r>
        <w:rPr>
          <w:rFonts w:ascii="Calibri" w:hAnsi="Calibri" w:cs="Calibri"/>
          <w:bCs/>
          <w:sz w:val="24"/>
          <w:szCs w:val="24"/>
          <w:lang w:val="en-US"/>
        </w:rPr>
        <w:t xml:space="preserve">  </w:t>
      </w:r>
      <w:r>
        <w:rPr>
          <w:rFonts w:hint="eastAsia" w:ascii="Calibri" w:hAnsi="Calibri" w:cs="Calibri"/>
          <w:bCs/>
          <w:sz w:val="24"/>
          <w:szCs w:val="24"/>
          <w:lang w:val="en-US"/>
        </w:rPr>
        <w:t>审核施工组织设计；</w:t>
      </w:r>
    </w:p>
    <w:p w14:paraId="0DE13E2C">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w:t>
      </w:r>
      <w:r>
        <w:rPr>
          <w:rFonts w:ascii="Calibri" w:hAnsi="Calibri" w:cs="Calibri"/>
          <w:bCs/>
          <w:sz w:val="24"/>
          <w:szCs w:val="24"/>
          <w:lang w:val="en-US"/>
        </w:rPr>
        <w:t xml:space="preserve">  </w:t>
      </w:r>
      <w:r>
        <w:rPr>
          <w:rFonts w:hint="eastAsia" w:ascii="Calibri" w:hAnsi="Calibri" w:cs="Calibri"/>
          <w:bCs/>
          <w:sz w:val="24"/>
          <w:szCs w:val="24"/>
          <w:lang w:val="en-US"/>
        </w:rPr>
        <w:t>审核并报委托人批准监理规划；</w:t>
      </w:r>
    </w:p>
    <w:p w14:paraId="151ACD3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w:t>
      </w:r>
      <w:r>
        <w:rPr>
          <w:rFonts w:ascii="Calibri" w:hAnsi="Calibri" w:cs="Calibri"/>
          <w:bCs/>
          <w:sz w:val="24"/>
          <w:szCs w:val="24"/>
          <w:lang w:val="en-US"/>
        </w:rPr>
        <w:t xml:space="preserve">  </w:t>
      </w:r>
      <w:r>
        <w:rPr>
          <w:rFonts w:hint="eastAsia" w:ascii="Calibri" w:hAnsi="Calibri" w:cs="Calibri"/>
          <w:bCs/>
          <w:sz w:val="24"/>
          <w:szCs w:val="24"/>
          <w:lang w:val="en-US"/>
        </w:rPr>
        <w:t>检查监理单位的组织准备情况；</w:t>
      </w:r>
    </w:p>
    <w:p w14:paraId="3BE38CC1">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7  </w:t>
      </w:r>
      <w:r>
        <w:rPr>
          <w:rFonts w:hint="eastAsia" w:ascii="Calibri" w:hAnsi="Calibri" w:cs="Calibri"/>
          <w:bCs/>
          <w:sz w:val="24"/>
          <w:szCs w:val="24"/>
          <w:lang w:val="en-US"/>
        </w:rPr>
        <w:t>核查现场施工机械、材料的准备情况；</w:t>
      </w:r>
    </w:p>
    <w:p w14:paraId="239BA75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8  </w:t>
      </w:r>
      <w:r>
        <w:rPr>
          <w:rFonts w:hint="eastAsia" w:ascii="Calibri" w:hAnsi="Calibri" w:cs="Calibri"/>
          <w:bCs/>
          <w:sz w:val="24"/>
          <w:szCs w:val="24"/>
          <w:lang w:val="en-US"/>
        </w:rPr>
        <w:t>核查现场人员</w:t>
      </w:r>
      <w:r>
        <w:rPr>
          <w:rFonts w:ascii="Calibri" w:hAnsi="Calibri" w:cs="Calibri"/>
          <w:bCs/>
          <w:sz w:val="24"/>
          <w:szCs w:val="24"/>
          <w:lang w:val="en-US"/>
        </w:rPr>
        <w:t>的准备</w:t>
      </w:r>
      <w:r>
        <w:rPr>
          <w:rFonts w:hint="eastAsia" w:ascii="Calibri" w:hAnsi="Calibri" w:cs="Calibri"/>
          <w:bCs/>
          <w:sz w:val="24"/>
          <w:szCs w:val="24"/>
          <w:lang w:val="en-US"/>
        </w:rPr>
        <w:t>情况及质量和安全保证体系；</w:t>
      </w:r>
    </w:p>
    <w:p w14:paraId="4E71A19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9  </w:t>
      </w:r>
      <w:r>
        <w:rPr>
          <w:rFonts w:hint="eastAsia" w:ascii="Calibri" w:hAnsi="Calibri" w:cs="Calibri"/>
          <w:bCs/>
          <w:sz w:val="24"/>
          <w:szCs w:val="24"/>
          <w:lang w:val="en-US"/>
        </w:rPr>
        <w:t>落实施工现场条件，包括临水、临电接口以及地上、地下障碍物清理、场地平整及外部单位的沟通协调；</w:t>
      </w:r>
    </w:p>
    <w:p w14:paraId="785093F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10 </w:t>
      </w:r>
      <w:r>
        <w:rPr>
          <w:rFonts w:hint="eastAsia" w:ascii="Calibri" w:hAnsi="Calibri" w:cs="Calibri"/>
          <w:bCs/>
          <w:sz w:val="24"/>
          <w:szCs w:val="24"/>
          <w:lang w:val="en-US"/>
        </w:rPr>
        <w:t>督促项目监理机构核签开工报告；</w:t>
      </w:r>
    </w:p>
    <w:p w14:paraId="724DC1E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11 </w:t>
      </w:r>
      <w:r>
        <w:rPr>
          <w:rFonts w:hint="eastAsia" w:ascii="Calibri" w:hAnsi="Calibri" w:cs="Calibri"/>
          <w:bCs/>
          <w:sz w:val="24"/>
          <w:szCs w:val="24"/>
          <w:lang w:val="en-US"/>
        </w:rPr>
        <w:t>督促工程监理单位组织召开第一次工地会议。</w:t>
      </w:r>
    </w:p>
    <w:p w14:paraId="05213F2E">
      <w:pPr>
        <w:keepNext/>
        <w:keepLines/>
        <w:spacing w:line="360" w:lineRule="auto"/>
        <w:jc w:val="left"/>
        <w:outlineLvl w:val="2"/>
        <w:rPr>
          <w:rFonts w:ascii="Times New Roman" w:hAnsi="Times New Roman"/>
          <w:b/>
          <w:bCs/>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6</w:t>
      </w:r>
      <w:r>
        <w:rPr>
          <w:rFonts w:ascii="Times New Roman" w:hAnsi="Times New Roman"/>
          <w:b/>
          <w:bCs/>
          <w:sz w:val="24"/>
          <w:szCs w:val="24"/>
        </w:rPr>
        <w:t xml:space="preserve">.2 </w:t>
      </w:r>
      <w:r>
        <w:rPr>
          <w:rFonts w:hint="eastAsia" w:ascii="Times New Roman" w:hAnsi="Times New Roman"/>
          <w:b/>
          <w:bCs/>
          <w:sz w:val="24"/>
          <w:szCs w:val="24"/>
        </w:rPr>
        <w:t>施工阶段</w:t>
      </w:r>
    </w:p>
    <w:p w14:paraId="358073E3">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5.6.2.1 进度管理工作</w:t>
      </w:r>
    </w:p>
    <w:p w14:paraId="433AD46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建立健全项目进度控制体系，明确各方职责，制定进度管理制度；</w:t>
      </w:r>
    </w:p>
    <w:p w14:paraId="26DF6E3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编制项目总控进度计划，明确各级控制节点并严格实施；</w:t>
      </w:r>
    </w:p>
    <w:p w14:paraId="2827DDE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审核并跟踪施工总进度计划及各专项计划的执行情况；</w:t>
      </w:r>
    </w:p>
    <w:p w14:paraId="5C4A187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4</w:t>
      </w:r>
      <w:r>
        <w:rPr>
          <w:rFonts w:hint="eastAsia" w:ascii="Calibri" w:hAnsi="Calibri" w:cs="Calibri"/>
          <w:bCs/>
          <w:sz w:val="24"/>
          <w:szCs w:val="24"/>
          <w:lang w:val="en-US"/>
        </w:rPr>
        <w:t xml:space="preserve">  定期编制进度分析报告，重点评估分析对项目进度可能产生重大影响的事项；</w:t>
      </w:r>
    </w:p>
    <w:p w14:paraId="4852499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协调解决各参建单位的进度矛盾；</w:t>
      </w:r>
    </w:p>
    <w:p w14:paraId="1503EB7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6</w:t>
      </w:r>
      <w:r>
        <w:rPr>
          <w:rFonts w:hint="eastAsia" w:ascii="Calibri" w:hAnsi="Calibri" w:cs="Calibri"/>
          <w:bCs/>
          <w:sz w:val="24"/>
          <w:szCs w:val="24"/>
          <w:lang w:val="en-US"/>
        </w:rPr>
        <w:t xml:space="preserve">  审批并处理工程停工、复工及工期变更事项。</w:t>
      </w:r>
    </w:p>
    <w:p w14:paraId="2FB9AAF1">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5.6.2.2 质量管理工作</w:t>
      </w:r>
    </w:p>
    <w:p w14:paraId="278FAD0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组织编制施工质量管理策划，细化工程质量目标并贯彻实施；</w:t>
      </w:r>
    </w:p>
    <w:p w14:paraId="14E07FC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建立工程质量控制体系，督促各单位建立分级质量控制体系；</w:t>
      </w:r>
    </w:p>
    <w:p w14:paraId="649809CA">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3</w:t>
      </w:r>
      <w:r>
        <w:rPr>
          <w:rFonts w:hint="eastAsia" w:ascii="Calibri" w:hAnsi="Calibri" w:cs="Calibri"/>
          <w:bCs/>
          <w:sz w:val="24"/>
          <w:szCs w:val="24"/>
          <w:lang w:val="en-US"/>
        </w:rPr>
        <w:t xml:space="preserve">  通过联合检查、考核等方式加强施工质量监管；</w:t>
      </w:r>
    </w:p>
    <w:p w14:paraId="2F60D16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推动参建各方开展质量创优工作；</w:t>
      </w:r>
    </w:p>
    <w:p w14:paraId="69EAF75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及时组织处理工程质量问题及事故；</w:t>
      </w:r>
    </w:p>
    <w:p w14:paraId="47D0418D">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5.6.2.3 安全文明管理工作</w:t>
      </w:r>
    </w:p>
    <w:p w14:paraId="0AAC7828">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组织编制施工安全文明管理策划并贯彻实施；</w:t>
      </w:r>
    </w:p>
    <w:p w14:paraId="158A600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建立工程安全文明生产管理体系，督促各单位建立分级安全控制体系；</w:t>
      </w:r>
    </w:p>
    <w:p w14:paraId="78931A60">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通过联合检查、安全评比等方式加强施工现场安全文明管理；</w:t>
      </w:r>
    </w:p>
    <w:p w14:paraId="3E67BE4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组织参建各方开展安全文明工地创优工作；</w:t>
      </w:r>
    </w:p>
    <w:p w14:paraId="49E96A8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及时组织处理工程安全问题及事故。</w:t>
      </w:r>
    </w:p>
    <w:p w14:paraId="62BAD5DE">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5.6.2.4 施工阶段的招标采购管理</w:t>
      </w:r>
    </w:p>
    <w:p w14:paraId="137C631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组织甲供材料、设备采购工作；</w:t>
      </w:r>
    </w:p>
    <w:p w14:paraId="034FA6C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对甲指乙供的材料、设备的技术要求、质量标准、价格及采购过程进行管理；</w:t>
      </w:r>
    </w:p>
    <w:p w14:paraId="4036E38C">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组织各专项咨询、检测等服务类采购工作；</w:t>
      </w:r>
    </w:p>
    <w:p w14:paraId="32397DAD">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.2.</w:t>
      </w:r>
      <w:r>
        <w:rPr>
          <w:rFonts w:hint="eastAsia" w:ascii="宋体" w:hAnsi="宋体"/>
          <w:sz w:val="24"/>
          <w:szCs w:val="24"/>
        </w:rPr>
        <w:t>5</w:t>
      </w:r>
      <w:r>
        <w:rPr>
          <w:rFonts w:ascii="宋体" w:hAnsi="宋体"/>
          <w:sz w:val="24"/>
          <w:szCs w:val="24"/>
        </w:rPr>
        <w:t xml:space="preserve"> </w:t>
      </w:r>
      <w:r>
        <w:rPr>
          <w:rFonts w:hint="eastAsia" w:ascii="宋体" w:hAnsi="宋体"/>
          <w:sz w:val="24"/>
          <w:szCs w:val="24"/>
        </w:rPr>
        <w:t>施工阶段投资管理工作</w:t>
      </w:r>
    </w:p>
    <w:p w14:paraId="0DB8F8D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组织编制并动态调整资金使用计划；</w:t>
      </w:r>
    </w:p>
    <w:p w14:paraId="74068CD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2</w:t>
      </w:r>
      <w:r>
        <w:rPr>
          <w:rFonts w:hint="eastAsia" w:ascii="Calibri" w:hAnsi="Calibri" w:cs="Calibri"/>
          <w:bCs/>
          <w:sz w:val="24"/>
          <w:szCs w:val="24"/>
          <w:lang w:val="en-US"/>
        </w:rPr>
        <w:t xml:space="preserve">  审核、处理工程变更和签证的造价事项；</w:t>
      </w:r>
    </w:p>
    <w:p w14:paraId="117FA2EE">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审核工程款支付申请；</w:t>
      </w:r>
    </w:p>
    <w:p w14:paraId="4992483F">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4</w:t>
      </w:r>
      <w:r>
        <w:rPr>
          <w:rFonts w:hint="eastAsia" w:ascii="Calibri" w:hAnsi="Calibri" w:cs="Calibri"/>
          <w:bCs/>
          <w:sz w:val="24"/>
          <w:szCs w:val="24"/>
          <w:lang w:val="en-US"/>
        </w:rPr>
        <w:t xml:space="preserve">  审核施工过程中费用索赔；</w:t>
      </w:r>
    </w:p>
    <w:p w14:paraId="6119351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组织开展工程结算工作。</w:t>
      </w:r>
    </w:p>
    <w:p w14:paraId="66479A20">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5.6.2.6施工阶段合同管理</w:t>
      </w:r>
    </w:p>
    <w:p w14:paraId="7352D292">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优化合同框架与界面，根据施工进展和环境变化进行动态调整；</w:t>
      </w:r>
    </w:p>
    <w:p w14:paraId="3719B67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参与合同谈判和签订；</w:t>
      </w:r>
    </w:p>
    <w:p w14:paraId="09D41A6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建立合同管理台账；</w:t>
      </w:r>
    </w:p>
    <w:p w14:paraId="0651FBD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4</w:t>
      </w:r>
      <w:r>
        <w:rPr>
          <w:rFonts w:hint="eastAsia" w:ascii="Calibri" w:hAnsi="Calibri" w:cs="Calibri"/>
          <w:bCs/>
          <w:sz w:val="24"/>
          <w:szCs w:val="24"/>
          <w:lang w:val="en-US"/>
        </w:rPr>
        <w:t xml:space="preserve">  督促各方履约，并提供合同履约报告；</w:t>
      </w:r>
    </w:p>
    <w:p w14:paraId="273BBD0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处理合同变更，争议与索赔事项；</w:t>
      </w:r>
    </w:p>
    <w:p w14:paraId="5BCF4FD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开展合同风险管理。</w:t>
      </w:r>
    </w:p>
    <w:p w14:paraId="5353C3EE">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5.6.2.7 施工阶段技术管理</w:t>
      </w:r>
    </w:p>
    <w:p w14:paraId="020666E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规范施工图纸和技术文件的管理；</w:t>
      </w:r>
    </w:p>
    <w:p w14:paraId="1F45F51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组织</w:t>
      </w:r>
      <w:r>
        <w:rPr>
          <w:rFonts w:ascii="Calibri" w:hAnsi="Calibri" w:cs="Calibri"/>
          <w:bCs/>
          <w:sz w:val="24"/>
          <w:szCs w:val="24"/>
          <w:lang w:val="en-US"/>
        </w:rPr>
        <w:t>重大技术方案、材料设备选型</w:t>
      </w:r>
      <w:r>
        <w:rPr>
          <w:rFonts w:hint="eastAsia" w:ascii="Calibri" w:hAnsi="Calibri" w:cs="Calibri"/>
          <w:bCs/>
          <w:sz w:val="24"/>
          <w:szCs w:val="24"/>
          <w:lang w:val="en-US"/>
        </w:rPr>
        <w:t>及质量问题等专家评审/论证会；</w:t>
      </w:r>
    </w:p>
    <w:p w14:paraId="41C2D44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组织确认材料、设备选型和品牌及技术参数；</w:t>
      </w:r>
    </w:p>
    <w:p w14:paraId="47A40E2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组织确认工程样品与施工样板，并督促实施；</w:t>
      </w:r>
    </w:p>
    <w:p w14:paraId="16399A92">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组织编写专业分包施工界面和管理要求。</w:t>
      </w:r>
    </w:p>
    <w:p w14:paraId="3900BEEF">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5.6.2.8 施工阶段信息管理工作</w:t>
      </w:r>
    </w:p>
    <w:p w14:paraId="06AE12A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建立项目信息管理体系，完善编码标准和项目信息管理制度；</w:t>
      </w:r>
    </w:p>
    <w:p w14:paraId="626B156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监督检查各参建单位的信息管理工作；</w:t>
      </w:r>
    </w:p>
    <w:p w14:paraId="246583A8">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3</w:t>
      </w:r>
      <w:r>
        <w:rPr>
          <w:rFonts w:hint="eastAsia" w:ascii="Calibri" w:hAnsi="Calibri" w:cs="Calibri"/>
          <w:bCs/>
          <w:sz w:val="24"/>
          <w:szCs w:val="24"/>
          <w:lang w:val="en-US"/>
        </w:rPr>
        <w:t xml:space="preserve">  编制各类工程项目报表（周报、月报、会议纪要、联系单）、报告等文件；</w:t>
      </w:r>
    </w:p>
    <w:p w14:paraId="46710A2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做好各类文件的收集、整理、流转和台账管理。</w:t>
      </w:r>
    </w:p>
    <w:p w14:paraId="210BEDDF">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5</w:t>
      </w:r>
      <w:r>
        <w:rPr>
          <w:rFonts w:hint="eastAsia" w:ascii="Calibri" w:hAnsi="Calibri" w:cs="Calibri"/>
          <w:bCs/>
          <w:sz w:val="24"/>
          <w:szCs w:val="24"/>
          <w:lang w:val="en-US"/>
        </w:rPr>
        <w:t xml:space="preserve">  督促各参建单位做好工程竣工资料与档案管理。</w:t>
      </w:r>
    </w:p>
    <w:p w14:paraId="619FF916">
      <w:pPr>
        <w:keepNext/>
        <w:keepLines/>
        <w:spacing w:line="360" w:lineRule="auto"/>
        <w:jc w:val="left"/>
        <w:outlineLvl w:val="2"/>
        <w:rPr>
          <w:rFonts w:hint="eastAsia" w:ascii="宋体" w:hAnsi="宋体"/>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6</w:t>
      </w:r>
      <w:r>
        <w:rPr>
          <w:rFonts w:ascii="Times New Roman" w:hAnsi="Times New Roman"/>
          <w:b/>
          <w:bCs/>
          <w:sz w:val="24"/>
          <w:szCs w:val="24"/>
        </w:rPr>
        <w:t xml:space="preserve">.3 </w:t>
      </w:r>
      <w:r>
        <w:rPr>
          <w:rFonts w:hint="eastAsia" w:ascii="Times New Roman" w:hAnsi="Times New Roman"/>
          <w:b/>
          <w:bCs/>
          <w:sz w:val="24"/>
          <w:szCs w:val="24"/>
        </w:rPr>
        <w:t>竣工验收及移交阶段</w:t>
      </w:r>
    </w:p>
    <w:p w14:paraId="2B88CE11">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 xml:space="preserve">.3.1 </w:t>
      </w:r>
      <w:r>
        <w:rPr>
          <w:rFonts w:hint="eastAsia" w:ascii="宋体" w:hAnsi="宋体"/>
          <w:sz w:val="24"/>
          <w:szCs w:val="24"/>
        </w:rPr>
        <w:t>工程</w:t>
      </w:r>
      <w:r>
        <w:rPr>
          <w:rFonts w:hint="eastAsia" w:ascii="Times New Roman" w:hAnsi="Times New Roman"/>
          <w:sz w:val="24"/>
        </w:rPr>
        <w:t>咨询机构</w:t>
      </w:r>
      <w:r>
        <w:rPr>
          <w:rFonts w:hint="eastAsia" w:ascii="宋体" w:hAnsi="宋体"/>
          <w:sz w:val="24"/>
          <w:szCs w:val="24"/>
        </w:rPr>
        <w:t>应开展如下工作：</w:t>
      </w:r>
    </w:p>
    <w:p w14:paraId="3A562949">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 xml:space="preserve"> 协助委托方组织竣工验收；</w:t>
      </w:r>
    </w:p>
    <w:p w14:paraId="167A977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协助委托方组织实体移交。</w:t>
      </w:r>
    </w:p>
    <w:p w14:paraId="78113758">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5.6.3.2 工程</w:t>
      </w:r>
      <w:r>
        <w:rPr>
          <w:rFonts w:hint="eastAsia" w:ascii="Times New Roman" w:hAnsi="Times New Roman"/>
          <w:sz w:val="24"/>
        </w:rPr>
        <w:t>咨询机构</w:t>
      </w:r>
      <w:r>
        <w:rPr>
          <w:rFonts w:hint="eastAsia" w:ascii="宋体" w:hAnsi="宋体"/>
          <w:sz w:val="24"/>
          <w:szCs w:val="24"/>
        </w:rPr>
        <w:t>应协助委托方完成验收方案策划、验收流程组织、验收问题的梳理工作，做好竣工验收环节中各类问题的整改跟踪，同时协助委托方完成各类验收文件的流转与审查。</w:t>
      </w:r>
    </w:p>
    <w:p w14:paraId="4E24DDD7">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5.6.3.3 工程</w:t>
      </w:r>
      <w:r>
        <w:rPr>
          <w:rFonts w:hint="eastAsia" w:ascii="Times New Roman" w:hAnsi="Times New Roman"/>
          <w:sz w:val="24"/>
        </w:rPr>
        <w:t>咨询机构</w:t>
      </w:r>
      <w:r>
        <w:rPr>
          <w:rFonts w:hint="eastAsia" w:ascii="宋体" w:hAnsi="宋体"/>
          <w:sz w:val="24"/>
          <w:szCs w:val="24"/>
        </w:rPr>
        <w:t>应在竣工验收完成后，组织施工单位与运营或物业单位制定完善的移交方案，协助委托方按时完成实体工程的移交工作，并做好移交过程中的问题梳理与销项工作。</w:t>
      </w:r>
    </w:p>
    <w:p w14:paraId="0842A1E4">
      <w:pPr>
        <w:tabs>
          <w:tab w:val="left" w:pos="312"/>
        </w:tabs>
        <w:spacing w:line="360" w:lineRule="auto"/>
        <w:ind w:firstLine="480" w:firstLineChars="200"/>
      </w:pPr>
      <w:r>
        <w:rPr>
          <w:rFonts w:hint="eastAsia" w:ascii="宋体" w:hAnsi="宋体"/>
          <w:sz w:val="24"/>
          <w:szCs w:val="24"/>
        </w:rPr>
        <w:t>5.6.3.4 工程</w:t>
      </w:r>
      <w:r>
        <w:rPr>
          <w:rFonts w:hint="eastAsia" w:ascii="Times New Roman" w:hAnsi="Times New Roman"/>
          <w:sz w:val="24"/>
        </w:rPr>
        <w:t>咨询机构</w:t>
      </w:r>
      <w:r>
        <w:rPr>
          <w:rFonts w:hint="eastAsia" w:ascii="宋体" w:hAnsi="宋体"/>
          <w:sz w:val="24"/>
          <w:szCs w:val="24"/>
        </w:rPr>
        <w:t>应根据施工合同约定处理工程变更和索赔事宜，组织审核施工单位提交的竣工结算申请，督促工程审价单位出具竣工结算审核报告，还可协助委托方编制工程竣工决算。</w:t>
      </w:r>
    </w:p>
    <w:p w14:paraId="1ACEE3C4">
      <w:pPr>
        <w:keepNext/>
        <w:keepLines/>
        <w:spacing w:line="360" w:lineRule="auto"/>
        <w:jc w:val="left"/>
        <w:outlineLvl w:val="2"/>
        <w:rPr>
          <w:rFonts w:ascii="Times New Roman" w:hAnsi="Times New Roman"/>
          <w:b/>
          <w:bCs/>
          <w:sz w:val="24"/>
          <w:szCs w:val="24"/>
        </w:rPr>
      </w:pPr>
      <w:r>
        <w:rPr>
          <w:rFonts w:hint="eastAsia" w:ascii="Times New Roman" w:hAnsi="Times New Roman"/>
          <w:b/>
          <w:bCs/>
          <w:sz w:val="24"/>
          <w:szCs w:val="24"/>
        </w:rPr>
        <w:t>5</w:t>
      </w:r>
      <w:r>
        <w:rPr>
          <w:rFonts w:ascii="Times New Roman" w:hAnsi="Times New Roman"/>
          <w:b/>
          <w:bCs/>
          <w:sz w:val="24"/>
          <w:szCs w:val="24"/>
        </w:rPr>
        <w:t>.</w:t>
      </w:r>
      <w:r>
        <w:rPr>
          <w:rFonts w:hint="eastAsia" w:ascii="Times New Roman" w:hAnsi="Times New Roman"/>
          <w:b/>
          <w:bCs/>
          <w:sz w:val="24"/>
          <w:szCs w:val="24"/>
        </w:rPr>
        <w:t>6</w:t>
      </w:r>
      <w:r>
        <w:rPr>
          <w:rFonts w:ascii="Times New Roman" w:hAnsi="Times New Roman"/>
          <w:b/>
          <w:bCs/>
          <w:sz w:val="24"/>
          <w:szCs w:val="24"/>
        </w:rPr>
        <w:t>.</w:t>
      </w:r>
      <w:r>
        <w:rPr>
          <w:rFonts w:hint="eastAsia" w:ascii="Times New Roman" w:hAnsi="Times New Roman"/>
          <w:b/>
          <w:bCs/>
          <w:sz w:val="24"/>
          <w:szCs w:val="24"/>
        </w:rPr>
        <w:t>4</w:t>
      </w:r>
      <w:r>
        <w:rPr>
          <w:rFonts w:ascii="Times New Roman" w:hAnsi="Times New Roman"/>
          <w:b/>
          <w:bCs/>
          <w:sz w:val="24"/>
          <w:szCs w:val="24"/>
        </w:rPr>
        <w:t xml:space="preserve"> </w:t>
      </w:r>
      <w:r>
        <w:rPr>
          <w:rFonts w:hint="eastAsia" w:ascii="Times New Roman" w:hAnsi="Times New Roman"/>
          <w:b/>
          <w:bCs/>
          <w:sz w:val="24"/>
          <w:szCs w:val="24"/>
        </w:rPr>
        <w:t>保修阶段</w:t>
      </w:r>
    </w:p>
    <w:p w14:paraId="7CD72838">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w:t>
      </w:r>
      <w:r>
        <w:rPr>
          <w:rFonts w:hint="eastAsia" w:ascii="宋体" w:hAnsi="宋体"/>
          <w:sz w:val="24"/>
          <w:szCs w:val="24"/>
        </w:rPr>
        <w:t>4</w:t>
      </w:r>
      <w:r>
        <w:rPr>
          <w:rFonts w:ascii="宋体" w:hAnsi="宋体"/>
          <w:sz w:val="24"/>
          <w:szCs w:val="24"/>
        </w:rPr>
        <w:t xml:space="preserve">.1 </w:t>
      </w:r>
      <w:r>
        <w:rPr>
          <w:rFonts w:hint="eastAsia" w:ascii="宋体" w:hAnsi="宋体"/>
          <w:sz w:val="24"/>
          <w:szCs w:val="24"/>
        </w:rPr>
        <w:t>工程</w:t>
      </w:r>
      <w:r>
        <w:rPr>
          <w:rFonts w:hint="eastAsia" w:ascii="Times New Roman" w:hAnsi="Times New Roman"/>
          <w:sz w:val="24"/>
        </w:rPr>
        <w:t>咨询机构</w:t>
      </w:r>
      <w:r>
        <w:rPr>
          <w:rFonts w:hint="eastAsia" w:ascii="宋体" w:hAnsi="宋体"/>
          <w:sz w:val="24"/>
          <w:szCs w:val="24"/>
        </w:rPr>
        <w:t>应开展如下工作：</w:t>
      </w:r>
    </w:p>
    <w:p w14:paraId="652ED99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组织制定保修管理方案；</w:t>
      </w:r>
    </w:p>
    <w:p w14:paraId="515E4966">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2</w:t>
      </w:r>
      <w:r>
        <w:rPr>
          <w:rFonts w:hint="eastAsia" w:ascii="Calibri" w:hAnsi="Calibri" w:cs="Calibri"/>
          <w:bCs/>
          <w:sz w:val="24"/>
          <w:szCs w:val="24"/>
          <w:lang w:val="en-US"/>
        </w:rPr>
        <w:t xml:space="preserve">  组织项目保修管理会议；</w:t>
      </w:r>
    </w:p>
    <w:p w14:paraId="2932BC3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3</w:t>
      </w:r>
      <w:r>
        <w:rPr>
          <w:rFonts w:hint="eastAsia" w:ascii="Calibri" w:hAnsi="Calibri" w:cs="Calibri"/>
          <w:bCs/>
          <w:sz w:val="24"/>
          <w:szCs w:val="24"/>
          <w:lang w:val="en-US"/>
        </w:rPr>
        <w:t xml:space="preserve">  过程协调与定期回访。</w:t>
      </w:r>
    </w:p>
    <w:p w14:paraId="1A6ACAD2">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 xml:space="preserve">.3.2 </w:t>
      </w:r>
      <w:r>
        <w:rPr>
          <w:rFonts w:hint="eastAsia" w:ascii="宋体" w:hAnsi="宋体"/>
          <w:sz w:val="24"/>
          <w:szCs w:val="24"/>
        </w:rPr>
        <w:t>工程</w:t>
      </w:r>
      <w:r>
        <w:rPr>
          <w:rFonts w:hint="eastAsia" w:ascii="Times New Roman" w:hAnsi="Times New Roman"/>
          <w:sz w:val="24"/>
        </w:rPr>
        <w:t>咨询机构</w:t>
      </w:r>
      <w:r>
        <w:rPr>
          <w:rFonts w:hint="eastAsia" w:ascii="宋体" w:hAnsi="宋体"/>
          <w:sz w:val="24"/>
          <w:szCs w:val="24"/>
        </w:rPr>
        <w:t>应在保修阶段开始前，协助委托方组织保修单位、使用或物业单位，共同制定完善的保修管理方案，明确保修管理要求，工作制度与流程及保修方法等内容。</w:t>
      </w:r>
    </w:p>
    <w:p w14:paraId="0FA080A8">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 xml:space="preserve">.3.3 </w:t>
      </w:r>
      <w:r>
        <w:rPr>
          <w:rFonts w:hint="eastAsia" w:ascii="宋体" w:hAnsi="宋体"/>
          <w:sz w:val="24"/>
          <w:szCs w:val="24"/>
        </w:rPr>
        <w:t>工程</w:t>
      </w:r>
      <w:r>
        <w:rPr>
          <w:rFonts w:hint="eastAsia" w:ascii="Times New Roman" w:hAnsi="Times New Roman"/>
          <w:sz w:val="24"/>
        </w:rPr>
        <w:t>咨询机构</w:t>
      </w:r>
      <w:r>
        <w:rPr>
          <w:rFonts w:hint="eastAsia" w:ascii="宋体" w:hAnsi="宋体"/>
          <w:sz w:val="24"/>
          <w:szCs w:val="24"/>
        </w:rPr>
        <w:t>应定期跟踪保修工作开展情况，协助</w:t>
      </w:r>
      <w:r>
        <w:rPr>
          <w:rFonts w:hint="eastAsia"/>
          <w:sz w:val="24"/>
          <w:szCs w:val="24"/>
        </w:rPr>
        <w:t>委托方</w:t>
      </w:r>
      <w:r>
        <w:rPr>
          <w:rFonts w:hint="eastAsia" w:ascii="宋体" w:hAnsi="宋体"/>
          <w:sz w:val="24"/>
          <w:szCs w:val="24"/>
        </w:rPr>
        <w:t>定期组织相关单位召开保修管理会议，督促各责任单位严格落实保修阶段的各项工作要求。</w:t>
      </w:r>
    </w:p>
    <w:p w14:paraId="71FFAC59">
      <w:pPr>
        <w:tabs>
          <w:tab w:val="left" w:pos="312"/>
        </w:tabs>
        <w:spacing w:line="360" w:lineRule="auto"/>
        <w:ind w:firstLine="480" w:firstLineChars="200"/>
        <w:rPr>
          <w:rFonts w:hint="eastAsia" w:ascii="宋体" w:hAnsi="宋体"/>
          <w:sz w:val="24"/>
          <w:szCs w:val="24"/>
        </w:rPr>
      </w:pPr>
      <w:r>
        <w:rPr>
          <w:rFonts w:hint="eastAsia" w:ascii="宋体" w:hAnsi="宋体"/>
          <w:sz w:val="24"/>
          <w:szCs w:val="24"/>
        </w:rPr>
        <w:t>5</w:t>
      </w:r>
      <w:r>
        <w:rPr>
          <w:rFonts w:ascii="宋体" w:hAnsi="宋体"/>
          <w:sz w:val="24"/>
          <w:szCs w:val="24"/>
        </w:rPr>
        <w:t>.</w:t>
      </w:r>
      <w:r>
        <w:rPr>
          <w:rFonts w:hint="eastAsia" w:ascii="宋体" w:hAnsi="宋体"/>
          <w:sz w:val="24"/>
          <w:szCs w:val="24"/>
        </w:rPr>
        <w:t>6</w:t>
      </w:r>
      <w:r>
        <w:rPr>
          <w:rFonts w:ascii="宋体" w:hAnsi="宋体"/>
          <w:sz w:val="24"/>
          <w:szCs w:val="24"/>
        </w:rPr>
        <w:t xml:space="preserve">.3.4 </w:t>
      </w:r>
      <w:r>
        <w:rPr>
          <w:rFonts w:hint="eastAsia" w:ascii="宋体" w:hAnsi="宋体"/>
          <w:sz w:val="24"/>
          <w:szCs w:val="24"/>
        </w:rPr>
        <w:t>工程</w:t>
      </w:r>
      <w:r>
        <w:rPr>
          <w:rFonts w:hint="eastAsia" w:ascii="Times New Roman" w:hAnsi="Times New Roman"/>
          <w:sz w:val="24"/>
        </w:rPr>
        <w:t>咨询机构</w:t>
      </w:r>
      <w:r>
        <w:rPr>
          <w:rFonts w:hint="eastAsia" w:ascii="宋体" w:hAnsi="宋体"/>
          <w:sz w:val="24"/>
          <w:szCs w:val="24"/>
        </w:rPr>
        <w:t>应在保修阶段，积极协助</w:t>
      </w:r>
      <w:r>
        <w:rPr>
          <w:rFonts w:hint="eastAsia"/>
          <w:sz w:val="24"/>
          <w:szCs w:val="24"/>
        </w:rPr>
        <w:t>委托方</w:t>
      </w:r>
      <w:r>
        <w:rPr>
          <w:rFonts w:hint="eastAsia" w:ascii="宋体" w:hAnsi="宋体"/>
          <w:sz w:val="24"/>
          <w:szCs w:val="24"/>
        </w:rPr>
        <w:t>开展过程协调工作，定期回访保修情况开展，并听取使用单位或物业单位意见，及时编制《回访报告》，协助</w:t>
      </w:r>
      <w:r>
        <w:rPr>
          <w:rFonts w:hint="eastAsia"/>
          <w:sz w:val="24"/>
          <w:szCs w:val="24"/>
        </w:rPr>
        <w:t>委托方</w:t>
      </w:r>
      <w:r>
        <w:rPr>
          <w:rFonts w:hint="eastAsia" w:ascii="宋体" w:hAnsi="宋体"/>
          <w:sz w:val="24"/>
          <w:szCs w:val="24"/>
        </w:rPr>
        <w:t>对保修单位进行履约评价。</w:t>
      </w:r>
    </w:p>
    <w:p w14:paraId="0736B62F">
      <w:pPr>
        <w:spacing w:after="160" w:line="360" w:lineRule="auto"/>
        <w:jc w:val="left"/>
        <w:rPr>
          <w:b/>
          <w:bCs/>
          <w:sz w:val="28"/>
          <w:szCs w:val="32"/>
        </w:rPr>
      </w:pPr>
      <w:r>
        <w:rPr>
          <w:b/>
          <w:bCs/>
          <w:sz w:val="28"/>
          <w:szCs w:val="32"/>
        </w:rPr>
        <w:br w:type="page"/>
      </w:r>
    </w:p>
    <w:p w14:paraId="6487E551">
      <w:pPr>
        <w:adjustRightInd w:val="0"/>
        <w:snapToGrid w:val="0"/>
        <w:spacing w:line="360" w:lineRule="auto"/>
        <w:outlineLvl w:val="0"/>
        <w:rPr>
          <w:b/>
          <w:bCs/>
          <w:sz w:val="28"/>
          <w:szCs w:val="32"/>
        </w:rPr>
      </w:pPr>
      <w:bookmarkStart w:id="30" w:name="_Toc190875428"/>
      <w:r>
        <w:rPr>
          <w:rFonts w:hint="eastAsia"/>
          <w:b/>
          <w:bCs/>
          <w:sz w:val="28"/>
          <w:szCs w:val="32"/>
        </w:rPr>
        <w:t>6</w:t>
      </w:r>
      <w:r>
        <w:rPr>
          <w:b/>
          <w:bCs/>
          <w:sz w:val="28"/>
          <w:szCs w:val="32"/>
        </w:rPr>
        <w:t xml:space="preserve"> </w:t>
      </w:r>
      <w:r>
        <w:rPr>
          <w:rFonts w:hint="eastAsia"/>
          <w:b/>
          <w:bCs/>
          <w:sz w:val="28"/>
          <w:szCs w:val="32"/>
        </w:rPr>
        <w:t>专项咨询</w:t>
      </w:r>
      <w:bookmarkEnd w:id="30"/>
    </w:p>
    <w:p w14:paraId="4C754F4F">
      <w:pPr>
        <w:adjustRightInd w:val="0"/>
        <w:snapToGrid w:val="0"/>
        <w:spacing w:line="360" w:lineRule="auto"/>
        <w:ind w:left="420" w:leftChars="200"/>
        <w:outlineLvl w:val="1"/>
        <w:rPr>
          <w:b/>
          <w:bCs/>
          <w:sz w:val="28"/>
          <w:szCs w:val="32"/>
        </w:rPr>
      </w:pPr>
      <w:bookmarkStart w:id="31" w:name="_Toc190875429"/>
      <w:r>
        <w:rPr>
          <w:rFonts w:hint="eastAsia"/>
          <w:b/>
          <w:bCs/>
          <w:sz w:val="28"/>
          <w:szCs w:val="32"/>
        </w:rPr>
        <w:t>6</w:t>
      </w:r>
      <w:r>
        <w:rPr>
          <w:b/>
          <w:bCs/>
          <w:sz w:val="28"/>
          <w:szCs w:val="32"/>
        </w:rPr>
        <w:t xml:space="preserve">.1 </w:t>
      </w:r>
      <w:r>
        <w:rPr>
          <w:rFonts w:hint="eastAsia"/>
          <w:b/>
          <w:bCs/>
          <w:sz w:val="28"/>
          <w:szCs w:val="32"/>
        </w:rPr>
        <w:t>一般规定</w:t>
      </w:r>
      <w:bookmarkEnd w:id="31"/>
    </w:p>
    <w:p w14:paraId="2C721A09">
      <w:pPr>
        <w:adjustRightInd w:val="0"/>
        <w:snapToGrid w:val="0"/>
        <w:spacing w:line="360" w:lineRule="auto"/>
        <w:ind w:firstLine="480" w:firstLineChars="200"/>
        <w:jc w:val="left"/>
        <w:rPr>
          <w:sz w:val="24"/>
          <w:szCs w:val="28"/>
        </w:rPr>
      </w:pPr>
      <w:r>
        <w:rPr>
          <w:rFonts w:hint="eastAsia"/>
          <w:sz w:val="24"/>
          <w:szCs w:val="28"/>
        </w:rPr>
        <w:t>6</w:t>
      </w:r>
      <w:r>
        <w:rPr>
          <w:sz w:val="24"/>
          <w:szCs w:val="28"/>
        </w:rPr>
        <w:t>.1.</w:t>
      </w:r>
      <w:r>
        <w:rPr>
          <w:rFonts w:hint="eastAsia"/>
          <w:sz w:val="24"/>
          <w:szCs w:val="28"/>
        </w:rPr>
        <w:t>1</w:t>
      </w:r>
      <w:r>
        <w:rPr>
          <w:sz w:val="24"/>
          <w:szCs w:val="28"/>
        </w:rPr>
        <w:t xml:space="preserve"> </w:t>
      </w:r>
      <w:r>
        <w:rPr>
          <w:rFonts w:hint="eastAsia"/>
          <w:sz w:val="24"/>
          <w:szCs w:val="28"/>
        </w:rPr>
        <w:t>工程咨询机构应根据专项咨询合同约定，为委托方提供集技术、经济、管理等内容于一体的智力性服务，为委托方投资决策和过程管理提供增值服务。</w:t>
      </w:r>
    </w:p>
    <w:p w14:paraId="305D8989">
      <w:pPr>
        <w:adjustRightInd w:val="0"/>
        <w:snapToGrid w:val="0"/>
        <w:spacing w:line="360" w:lineRule="auto"/>
        <w:ind w:firstLine="480" w:firstLineChars="200"/>
        <w:jc w:val="left"/>
        <w:rPr>
          <w:sz w:val="24"/>
          <w:szCs w:val="28"/>
        </w:rPr>
      </w:pPr>
      <w:r>
        <w:rPr>
          <w:rFonts w:hint="eastAsia"/>
          <w:sz w:val="24"/>
          <w:szCs w:val="28"/>
        </w:rPr>
        <w:t>6</w:t>
      </w:r>
      <w:r>
        <w:rPr>
          <w:sz w:val="24"/>
          <w:szCs w:val="28"/>
        </w:rPr>
        <w:t>.1.</w:t>
      </w:r>
      <w:r>
        <w:rPr>
          <w:rFonts w:hint="eastAsia"/>
          <w:sz w:val="24"/>
          <w:szCs w:val="28"/>
        </w:rPr>
        <w:t>2</w:t>
      </w:r>
      <w:r>
        <w:rPr>
          <w:sz w:val="24"/>
          <w:szCs w:val="28"/>
        </w:rPr>
        <w:t xml:space="preserve"> </w:t>
      </w:r>
      <w:r>
        <w:rPr>
          <w:rFonts w:hint="eastAsia"/>
          <w:sz w:val="24"/>
          <w:szCs w:val="28"/>
        </w:rPr>
        <w:t>工程咨询机构应编制专项咨询报告。专项咨询报告应由专项咨询项目负责人签字，并按规定由工程咨询项目总负责人审核签字、工程监理企业或工程咨询机构盖章后报送委托方。</w:t>
      </w:r>
    </w:p>
    <w:p w14:paraId="0F722470">
      <w:pPr>
        <w:adjustRightInd w:val="0"/>
        <w:snapToGrid w:val="0"/>
        <w:spacing w:line="360" w:lineRule="auto"/>
        <w:ind w:left="420" w:leftChars="200"/>
        <w:outlineLvl w:val="1"/>
        <w:rPr>
          <w:b/>
          <w:bCs/>
          <w:sz w:val="28"/>
          <w:szCs w:val="32"/>
        </w:rPr>
      </w:pPr>
      <w:bookmarkStart w:id="32" w:name="_Toc190875430"/>
      <w:r>
        <w:rPr>
          <w:rFonts w:hint="eastAsia"/>
          <w:b/>
          <w:bCs/>
          <w:sz w:val="28"/>
          <w:szCs w:val="32"/>
        </w:rPr>
        <w:t>6</w:t>
      </w:r>
      <w:r>
        <w:rPr>
          <w:b/>
          <w:bCs/>
          <w:sz w:val="28"/>
          <w:szCs w:val="32"/>
        </w:rPr>
        <w:t xml:space="preserve">.2 </w:t>
      </w:r>
      <w:r>
        <w:rPr>
          <w:rFonts w:hint="eastAsia"/>
          <w:b/>
          <w:bCs/>
          <w:sz w:val="28"/>
          <w:szCs w:val="32"/>
        </w:rPr>
        <w:t>项目融资咨询</w:t>
      </w:r>
      <w:bookmarkEnd w:id="32"/>
    </w:p>
    <w:p w14:paraId="1916BE24">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.2.1 </w:t>
      </w:r>
      <w:r>
        <w:rPr>
          <w:rFonts w:hint="eastAsia"/>
          <w:sz w:val="24"/>
          <w:szCs w:val="28"/>
        </w:rPr>
        <w:t>工程咨询机构可根据合同约定，为委托方提供项目融资咨询服务。项目融资咨询可以是综合考虑各类融资模式的总体咨询，也可以是针对某一特定融资模式的专题咨询。</w:t>
      </w:r>
    </w:p>
    <w:p w14:paraId="1480C6C5">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.2.3 </w:t>
      </w:r>
      <w:r>
        <w:rPr>
          <w:rFonts w:hint="eastAsia"/>
          <w:sz w:val="24"/>
          <w:szCs w:val="28"/>
        </w:rPr>
        <w:t>项目融资咨询应以投资机会研究及项目投资决策为基础，在初步确定项目投资需求和预期效益后，确定项目投资结构，进行项目融资决策分析，设计项目融资结构，策划和拟定项目融资方案等。</w:t>
      </w:r>
    </w:p>
    <w:p w14:paraId="2B56325C">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.2.4 </w:t>
      </w:r>
      <w:r>
        <w:rPr>
          <w:rFonts w:hint="eastAsia"/>
          <w:sz w:val="24"/>
          <w:szCs w:val="28"/>
        </w:rPr>
        <w:t>项目投资结构确定环节，应分析项目总投资、投资各方出资情况、投资方各项权益的法律拥有形式、项目投资方之间的法律关系、收益分配方式、债务责任及会计处理等内容，并应通过编制合资协议、股东协议、公司章程等文件予以明确。</w:t>
      </w:r>
    </w:p>
    <w:p w14:paraId="24D6AF24">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.2.5 </w:t>
      </w:r>
      <w:r>
        <w:rPr>
          <w:rFonts w:hint="eastAsia"/>
          <w:sz w:val="24"/>
          <w:szCs w:val="28"/>
        </w:rPr>
        <w:t>项目融资决策分析环节，应分析项目融资渠道和方式、融资具体任务和目标，并应初步研究和设计项目融资结构，分析比较可能的融资方案。</w:t>
      </w:r>
    </w:p>
    <w:p w14:paraId="5B09C900">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.2.6 </w:t>
      </w:r>
      <w:r>
        <w:rPr>
          <w:rFonts w:hint="eastAsia"/>
          <w:sz w:val="24"/>
          <w:szCs w:val="28"/>
        </w:rPr>
        <w:t>项目融资结构设计环节，应分析项目资本金与债务资金的比例、股本结构比例和债务结构比例，并应分析和评价项目融资的实现条件及风险因素。</w:t>
      </w:r>
    </w:p>
    <w:p w14:paraId="2170E56F">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.2.7 </w:t>
      </w:r>
      <w:r>
        <w:rPr>
          <w:rFonts w:hint="eastAsia"/>
          <w:sz w:val="24"/>
          <w:szCs w:val="28"/>
        </w:rPr>
        <w:t>工程咨询机构应编制项目融资方案，分析项目资金来源的可靠性和融资结构的合理性，并应分析项目融资成本及融资风险。</w:t>
      </w:r>
    </w:p>
    <w:p w14:paraId="031EA467">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.2.8 </w:t>
      </w:r>
      <w:r>
        <w:rPr>
          <w:rFonts w:hint="eastAsia"/>
          <w:sz w:val="24"/>
          <w:szCs w:val="28"/>
        </w:rPr>
        <w:t>工程咨询机构可协助委托方进行项目融资谈判。项目融资谈判应坚持双赢或多赢原则，既能最大限度地保护委托方利益，又能形成资金提供方所接受的融资方案，并应在此基础上起草项目融资有关文件。</w:t>
      </w:r>
    </w:p>
    <w:p w14:paraId="4995A50F">
      <w:pPr>
        <w:adjustRightInd w:val="0"/>
        <w:snapToGrid w:val="0"/>
        <w:spacing w:line="360" w:lineRule="auto"/>
        <w:ind w:firstLine="480" w:firstLineChars="200"/>
        <w:jc w:val="left"/>
        <w:rPr>
          <w:sz w:val="24"/>
          <w:szCs w:val="28"/>
        </w:rPr>
      </w:pPr>
      <w:r>
        <w:rPr>
          <w:rFonts w:hint="eastAsia"/>
          <w:sz w:val="24"/>
          <w:szCs w:val="28"/>
        </w:rPr>
        <w:t>6</w:t>
      </w:r>
      <w:r>
        <w:rPr>
          <w:sz w:val="24"/>
          <w:szCs w:val="28"/>
        </w:rPr>
        <w:t>.2.</w:t>
      </w:r>
      <w:r>
        <w:rPr>
          <w:rFonts w:hint="eastAsia"/>
          <w:sz w:val="24"/>
          <w:szCs w:val="28"/>
        </w:rPr>
        <w:t>9</w:t>
      </w:r>
      <w:r>
        <w:rPr>
          <w:sz w:val="24"/>
          <w:szCs w:val="28"/>
        </w:rPr>
        <w:t xml:space="preserve"> </w:t>
      </w:r>
      <w:r>
        <w:rPr>
          <w:rFonts w:hint="eastAsia"/>
          <w:sz w:val="24"/>
          <w:szCs w:val="28"/>
        </w:rPr>
        <w:t>工程咨询机构宜协助委托方签署项目融资有关文件，也可协助委托方实施项目融资方案。</w:t>
      </w:r>
    </w:p>
    <w:p w14:paraId="0CCCDCB4">
      <w:pPr>
        <w:adjustRightInd w:val="0"/>
        <w:snapToGrid w:val="0"/>
        <w:spacing w:line="360" w:lineRule="auto"/>
        <w:ind w:firstLine="480" w:firstLineChars="200"/>
        <w:jc w:val="left"/>
      </w:pPr>
      <w:r>
        <w:rPr>
          <w:rFonts w:hint="eastAsia"/>
          <w:sz w:val="24"/>
          <w:szCs w:val="28"/>
        </w:rPr>
        <w:t>6.</w:t>
      </w:r>
      <w:r>
        <w:rPr>
          <w:sz w:val="24"/>
          <w:szCs w:val="28"/>
        </w:rPr>
        <w:t>2.</w:t>
      </w:r>
      <w:r>
        <w:rPr>
          <w:rFonts w:hint="eastAsia"/>
          <w:sz w:val="24"/>
          <w:szCs w:val="28"/>
        </w:rPr>
        <w:t>10</w:t>
      </w:r>
      <w:r>
        <w:rPr>
          <w:sz w:val="24"/>
          <w:szCs w:val="28"/>
        </w:rPr>
        <w:t xml:space="preserve"> </w:t>
      </w:r>
      <w:r>
        <w:rPr>
          <w:rFonts w:hint="eastAsia"/>
          <w:sz w:val="24"/>
          <w:szCs w:val="28"/>
        </w:rPr>
        <w:t>工程咨询机构可按合同和委托方实际需求进行融资多方案比选，以应对项目变化、政策变化等状况的发生。</w:t>
      </w:r>
    </w:p>
    <w:p w14:paraId="50BDE460">
      <w:pPr>
        <w:spacing w:line="360" w:lineRule="auto"/>
        <w:ind w:left="420" w:leftChars="200"/>
        <w:outlineLvl w:val="1"/>
        <w:rPr>
          <w:b/>
          <w:bCs/>
          <w:sz w:val="28"/>
          <w:szCs w:val="32"/>
        </w:rPr>
      </w:pPr>
      <w:bookmarkStart w:id="33" w:name="_Toc190875431"/>
      <w:r>
        <w:rPr>
          <w:b/>
          <w:bCs/>
          <w:sz w:val="28"/>
          <w:szCs w:val="32"/>
        </w:rPr>
        <w:t>6.</w:t>
      </w:r>
      <w:r>
        <w:rPr>
          <w:rFonts w:hint="eastAsia"/>
          <w:b/>
          <w:bCs/>
          <w:sz w:val="28"/>
          <w:szCs w:val="32"/>
        </w:rPr>
        <w:t>3</w:t>
      </w:r>
      <w:r>
        <w:rPr>
          <w:b/>
          <w:bCs/>
          <w:sz w:val="28"/>
          <w:szCs w:val="32"/>
        </w:rPr>
        <w:t xml:space="preserve"> </w:t>
      </w:r>
      <w:r>
        <w:rPr>
          <w:rFonts w:hint="eastAsia"/>
          <w:b/>
          <w:bCs/>
          <w:sz w:val="28"/>
          <w:szCs w:val="32"/>
        </w:rPr>
        <w:t>工程造价咨询</w:t>
      </w:r>
      <w:bookmarkEnd w:id="33"/>
    </w:p>
    <w:p w14:paraId="1FEF1630">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.1</w:t>
      </w:r>
      <w:r>
        <w:rPr>
          <w:rFonts w:hint="eastAsia" w:cs="Calibri"/>
          <w:sz w:val="24"/>
          <w:szCs w:val="24"/>
        </w:rPr>
        <w:t>工程造价咨询可包括投资估算编制、概算编制（审核）、预算编制（审核）、限额设计造价编制（审核）、工程量清单编制（审核）、招标控制价编制、投标报价审核、项目资金使用计划编制及分析、工程计量与价款支付管理、工程变更管理、工程签证管理、工程索赔与反索赔服务、询价与核价、工程造价动态管理、竣工结算审核、竣工决算编制以及工程造价信息咨询服务等。</w:t>
      </w:r>
    </w:p>
    <w:p w14:paraId="3232E4B6">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2</w:t>
      </w:r>
      <w:r>
        <w:rPr>
          <w:rFonts w:cs="Calibri"/>
          <w:sz w:val="24"/>
          <w:szCs w:val="24"/>
        </w:rPr>
        <w:t xml:space="preserve"> </w:t>
      </w:r>
      <w:r>
        <w:rPr>
          <w:rFonts w:hint="eastAsia" w:cs="Calibri"/>
          <w:sz w:val="24"/>
          <w:szCs w:val="24"/>
        </w:rPr>
        <w:t>在项目立项阶段，工程</w:t>
      </w:r>
      <w:r>
        <w:rPr>
          <w:rFonts w:hint="eastAsia"/>
          <w:sz w:val="24"/>
          <w:szCs w:val="28"/>
        </w:rPr>
        <w:t>咨询机构</w:t>
      </w:r>
      <w:r>
        <w:rPr>
          <w:rFonts w:hint="eastAsia" w:cs="Calibri"/>
          <w:sz w:val="24"/>
          <w:szCs w:val="24"/>
        </w:rPr>
        <w:t>应根据合同约定及项目实际情况，编制投资估算，确定项目投资控制目标。</w:t>
      </w:r>
    </w:p>
    <w:p w14:paraId="657CF993">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3</w:t>
      </w:r>
      <w:r>
        <w:rPr>
          <w:rFonts w:cs="Calibri"/>
          <w:sz w:val="24"/>
          <w:szCs w:val="24"/>
        </w:rPr>
        <w:t xml:space="preserve"> </w:t>
      </w:r>
      <w:r>
        <w:rPr>
          <w:rFonts w:hint="eastAsia" w:cs="Calibri"/>
          <w:sz w:val="24"/>
          <w:szCs w:val="24"/>
        </w:rPr>
        <w:t>在项目设计阶段，工程</w:t>
      </w:r>
      <w:r>
        <w:rPr>
          <w:rFonts w:hint="eastAsia"/>
          <w:sz w:val="24"/>
          <w:szCs w:val="28"/>
        </w:rPr>
        <w:t>咨询机构</w:t>
      </w:r>
      <w:r>
        <w:rPr>
          <w:rFonts w:hint="eastAsia" w:cs="Calibri"/>
          <w:sz w:val="24"/>
          <w:szCs w:val="24"/>
        </w:rPr>
        <w:t>应根据合同约定及项目实际情况，完成以下工程造价咨询相关工作：</w:t>
      </w:r>
    </w:p>
    <w:p w14:paraId="067F65FB">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lang w:val="en-US"/>
        </w:rPr>
        <w:t xml:space="preserve">1  </w:t>
      </w:r>
      <w:r>
        <w:rPr>
          <w:rFonts w:hint="eastAsia" w:ascii="Calibri" w:hAnsi="Calibri" w:cs="Calibri"/>
          <w:bCs/>
          <w:sz w:val="24"/>
          <w:szCs w:val="24"/>
        </w:rPr>
        <w:t>制定限额设计造价控制目标；</w:t>
      </w:r>
    </w:p>
    <w:p w14:paraId="6077FF09">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2  </w:t>
      </w:r>
      <w:r>
        <w:rPr>
          <w:rFonts w:hint="eastAsia" w:ascii="Calibri" w:hAnsi="Calibri" w:cs="Calibri"/>
          <w:bCs/>
          <w:sz w:val="24"/>
          <w:szCs w:val="24"/>
        </w:rPr>
        <w:t>对设计方案进行技术经济指标分析，为设计方案优化提供建议；</w:t>
      </w:r>
    </w:p>
    <w:p w14:paraId="767FE697">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3  </w:t>
      </w:r>
      <w:r>
        <w:rPr>
          <w:rFonts w:hint="eastAsia" w:ascii="Calibri" w:hAnsi="Calibri" w:cs="Calibri"/>
          <w:bCs/>
          <w:sz w:val="24"/>
          <w:szCs w:val="24"/>
        </w:rPr>
        <w:t>编制或审核初步设计概算；</w:t>
      </w:r>
    </w:p>
    <w:p w14:paraId="23BE2565">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4  </w:t>
      </w:r>
      <w:r>
        <w:rPr>
          <w:rFonts w:hint="eastAsia" w:ascii="Calibri" w:hAnsi="Calibri" w:cs="Calibri"/>
          <w:bCs/>
          <w:sz w:val="24"/>
          <w:szCs w:val="24"/>
        </w:rPr>
        <w:t>编制或审核施工图预算。</w:t>
      </w:r>
    </w:p>
    <w:p w14:paraId="50AD54F4">
      <w:pPr>
        <w:adjustRightInd w:val="0"/>
        <w:snapToGrid w:val="0"/>
        <w:spacing w:line="360" w:lineRule="auto"/>
        <w:ind w:firstLine="480" w:firstLineChars="200"/>
        <w:rPr>
          <w:rFonts w:cs="Calibri"/>
          <w:bCs/>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4</w:t>
      </w:r>
      <w:r>
        <w:rPr>
          <w:rFonts w:cs="Calibri"/>
          <w:sz w:val="24"/>
          <w:szCs w:val="24"/>
        </w:rPr>
        <w:t xml:space="preserve"> </w:t>
      </w:r>
      <w:r>
        <w:rPr>
          <w:rFonts w:hint="eastAsia" w:cs="Calibri"/>
          <w:sz w:val="24"/>
          <w:szCs w:val="24"/>
        </w:rPr>
        <w:t>在项目招标采购阶段，工程</w:t>
      </w:r>
      <w:r>
        <w:rPr>
          <w:rFonts w:hint="eastAsia"/>
          <w:sz w:val="24"/>
          <w:szCs w:val="28"/>
        </w:rPr>
        <w:t>咨询机构</w:t>
      </w:r>
      <w:r>
        <w:rPr>
          <w:rFonts w:hint="eastAsia" w:cs="Calibri"/>
          <w:sz w:val="24"/>
          <w:szCs w:val="24"/>
        </w:rPr>
        <w:t>应根据合同约定及项目实际情况，完成以下工程造价咨询相关工作：</w:t>
      </w:r>
    </w:p>
    <w:p w14:paraId="24A0F680">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1  </w:t>
      </w:r>
      <w:r>
        <w:rPr>
          <w:rFonts w:hint="eastAsia" w:ascii="Calibri" w:hAnsi="Calibri" w:cs="Calibri"/>
          <w:bCs/>
          <w:sz w:val="24"/>
          <w:szCs w:val="24"/>
        </w:rPr>
        <w:t>协助策划招标方案；</w:t>
      </w:r>
    </w:p>
    <w:p w14:paraId="4E1D4884">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2  </w:t>
      </w:r>
      <w:r>
        <w:rPr>
          <w:rFonts w:hint="eastAsia" w:ascii="Calibri" w:hAnsi="Calibri" w:cs="Calibri"/>
          <w:bCs/>
          <w:sz w:val="24"/>
          <w:szCs w:val="24"/>
        </w:rPr>
        <w:t>编制或审核招标文件中有关造价条款；</w:t>
      </w:r>
    </w:p>
    <w:p w14:paraId="5473DCC0">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3  </w:t>
      </w:r>
      <w:r>
        <w:rPr>
          <w:rFonts w:hint="eastAsia" w:ascii="Calibri" w:hAnsi="Calibri" w:cs="Calibri"/>
          <w:bCs/>
          <w:sz w:val="24"/>
          <w:szCs w:val="24"/>
        </w:rPr>
        <w:t>起草或审核合同文本；</w:t>
      </w:r>
    </w:p>
    <w:p w14:paraId="7BE881B2">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4  </w:t>
      </w:r>
      <w:r>
        <w:rPr>
          <w:rFonts w:hint="eastAsia" w:ascii="Calibri" w:hAnsi="Calibri" w:cs="Calibri"/>
          <w:bCs/>
          <w:sz w:val="24"/>
          <w:szCs w:val="24"/>
        </w:rPr>
        <w:t>编制或审核工程量清单；</w:t>
      </w:r>
    </w:p>
    <w:p w14:paraId="21C4829A">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5  </w:t>
      </w:r>
      <w:r>
        <w:rPr>
          <w:rFonts w:hint="eastAsia" w:ascii="Calibri" w:hAnsi="Calibri" w:cs="Calibri"/>
          <w:bCs/>
          <w:sz w:val="24"/>
          <w:szCs w:val="24"/>
        </w:rPr>
        <w:t>编制或审核招标控制价或参考预算；</w:t>
      </w:r>
    </w:p>
    <w:p w14:paraId="0AD30805">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6  </w:t>
      </w:r>
      <w:r>
        <w:rPr>
          <w:rFonts w:hint="eastAsia" w:ascii="Calibri" w:hAnsi="Calibri" w:cs="Calibri"/>
          <w:bCs/>
          <w:sz w:val="24"/>
          <w:szCs w:val="24"/>
        </w:rPr>
        <w:t>参加交底会及现场踏勘；</w:t>
      </w:r>
    </w:p>
    <w:p w14:paraId="5CE75286">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7  </w:t>
      </w:r>
      <w:r>
        <w:rPr>
          <w:rFonts w:hint="eastAsia" w:ascii="Calibri" w:hAnsi="Calibri" w:cs="Calibri"/>
          <w:bCs/>
          <w:sz w:val="24"/>
          <w:szCs w:val="24"/>
        </w:rPr>
        <w:t>协助委托方进行清标并组织编制回标分析报告；</w:t>
      </w:r>
    </w:p>
    <w:p w14:paraId="3155CD0D">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8  </w:t>
      </w:r>
      <w:r>
        <w:rPr>
          <w:rFonts w:hint="eastAsia" w:ascii="Calibri" w:hAnsi="Calibri" w:cs="Calibri"/>
          <w:bCs/>
          <w:sz w:val="24"/>
          <w:szCs w:val="24"/>
        </w:rPr>
        <w:t>协助委托方进行合同谈判和签订。</w:t>
      </w:r>
    </w:p>
    <w:p w14:paraId="43A8348E">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5在项目施工阶段，工程</w:t>
      </w:r>
      <w:r>
        <w:rPr>
          <w:rFonts w:hint="eastAsia"/>
          <w:sz w:val="24"/>
          <w:szCs w:val="28"/>
        </w:rPr>
        <w:t>咨询机构</w:t>
      </w:r>
      <w:r>
        <w:rPr>
          <w:rFonts w:hint="eastAsia" w:cs="Calibri"/>
          <w:sz w:val="24"/>
          <w:szCs w:val="24"/>
        </w:rPr>
        <w:t>应根据合同约定及项目实际情况，完成以下工程造价咨询相关工作：</w:t>
      </w:r>
    </w:p>
    <w:p w14:paraId="26F4F458">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1  </w:t>
      </w:r>
      <w:r>
        <w:rPr>
          <w:rFonts w:hint="eastAsia" w:ascii="Calibri" w:hAnsi="Calibri" w:cs="Calibri"/>
          <w:bCs/>
          <w:sz w:val="24"/>
          <w:szCs w:val="24"/>
        </w:rPr>
        <w:t>项目资金使用计划编制及分析；</w:t>
      </w:r>
    </w:p>
    <w:p w14:paraId="1E4E95C2">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2  </w:t>
      </w:r>
      <w:r>
        <w:rPr>
          <w:rFonts w:hint="eastAsia" w:ascii="Calibri" w:hAnsi="Calibri" w:cs="Calibri"/>
          <w:bCs/>
          <w:sz w:val="24"/>
          <w:szCs w:val="24"/>
        </w:rPr>
        <w:t>工程计量、工程款支付审核和合同价款调整；</w:t>
      </w:r>
    </w:p>
    <w:p w14:paraId="47D3F962">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3  </w:t>
      </w:r>
      <w:r>
        <w:rPr>
          <w:rFonts w:hint="eastAsia" w:ascii="Calibri" w:hAnsi="Calibri" w:cs="Calibri"/>
          <w:bCs/>
          <w:sz w:val="24"/>
          <w:szCs w:val="24"/>
        </w:rPr>
        <w:t>合同风险管理；</w:t>
      </w:r>
    </w:p>
    <w:p w14:paraId="2A131080">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4  </w:t>
      </w:r>
      <w:r>
        <w:rPr>
          <w:rFonts w:hint="eastAsia" w:ascii="Calibri" w:hAnsi="Calibri" w:cs="Calibri"/>
          <w:bCs/>
          <w:sz w:val="24"/>
          <w:szCs w:val="24"/>
        </w:rPr>
        <w:t>工程变更管理、工程签证管理、索赔与反索赔管理；</w:t>
      </w:r>
    </w:p>
    <w:p w14:paraId="386CC78E">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5  </w:t>
      </w:r>
      <w:r>
        <w:rPr>
          <w:rFonts w:hint="eastAsia" w:ascii="Calibri" w:hAnsi="Calibri" w:cs="Calibri"/>
          <w:bCs/>
          <w:sz w:val="24"/>
          <w:szCs w:val="24"/>
        </w:rPr>
        <w:t>询价与核价；</w:t>
      </w:r>
    </w:p>
    <w:p w14:paraId="4030703F">
      <w:pPr>
        <w:pStyle w:val="2"/>
        <w:spacing w:before="0" w:line="360" w:lineRule="auto"/>
        <w:ind w:left="420" w:leftChars="200" w:firstLine="480" w:firstLineChars="200"/>
        <w:rPr>
          <w:rFonts w:ascii="Calibri" w:hAnsi="Calibri" w:cs="Calibri"/>
          <w:bCs/>
          <w:sz w:val="24"/>
          <w:szCs w:val="24"/>
        </w:rPr>
      </w:pPr>
      <w:r>
        <w:rPr>
          <w:rFonts w:ascii="Calibri" w:hAnsi="Calibri" w:cs="Calibri"/>
          <w:bCs/>
          <w:sz w:val="24"/>
          <w:szCs w:val="24"/>
        </w:rPr>
        <w:t xml:space="preserve">6  </w:t>
      </w:r>
      <w:r>
        <w:rPr>
          <w:rFonts w:hint="eastAsia" w:ascii="Calibri" w:hAnsi="Calibri" w:cs="Calibri"/>
          <w:bCs/>
          <w:sz w:val="24"/>
          <w:szCs w:val="24"/>
        </w:rPr>
        <w:t>项目造价控制动态管理分析和报告等。</w:t>
      </w:r>
    </w:p>
    <w:p w14:paraId="1D4EFCAD">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6在项目竣工结（决）算及后评价阶段，工程</w:t>
      </w:r>
      <w:r>
        <w:rPr>
          <w:rFonts w:hint="eastAsia"/>
          <w:sz w:val="24"/>
          <w:szCs w:val="28"/>
        </w:rPr>
        <w:t>咨询机构</w:t>
      </w:r>
      <w:r>
        <w:rPr>
          <w:rFonts w:hint="eastAsia" w:cs="Calibri"/>
          <w:sz w:val="24"/>
          <w:szCs w:val="24"/>
        </w:rPr>
        <w:t>应根据合同约定及项目实际情况，完成以下工程造价咨询相关工作：</w:t>
      </w:r>
    </w:p>
    <w:p w14:paraId="7A403FE0">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接收竣工结算资料并审核其完整性、真实性和合法性；</w:t>
      </w:r>
    </w:p>
    <w:p w14:paraId="0DDF7C1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审核建设项目竣工结算，并出具竣工结算审核报告；</w:t>
      </w:r>
    </w:p>
    <w:p w14:paraId="51A7969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编制或审核建设项目竣工决算，并出具竣工决算审核报告；</w:t>
      </w:r>
    </w:p>
    <w:p w14:paraId="2548960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项目投资造价绩效评价编制等。</w:t>
      </w:r>
    </w:p>
    <w:p w14:paraId="6CAFE0A8">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7工程</w:t>
      </w:r>
      <w:r>
        <w:rPr>
          <w:rFonts w:hint="eastAsia"/>
          <w:sz w:val="24"/>
          <w:szCs w:val="28"/>
        </w:rPr>
        <w:t>咨询机构</w:t>
      </w:r>
      <w:r>
        <w:rPr>
          <w:rFonts w:hint="eastAsia" w:cs="Calibri"/>
          <w:sz w:val="24"/>
          <w:szCs w:val="24"/>
        </w:rPr>
        <w:t>应建立造价咨询台账，并动态更新。</w:t>
      </w:r>
    </w:p>
    <w:p w14:paraId="324A78A1">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8工程</w:t>
      </w:r>
      <w:r>
        <w:rPr>
          <w:rFonts w:hint="eastAsia"/>
          <w:sz w:val="24"/>
          <w:szCs w:val="28"/>
        </w:rPr>
        <w:t>咨询机构</w:t>
      </w:r>
      <w:r>
        <w:rPr>
          <w:rFonts w:hint="eastAsia" w:cs="Calibri"/>
          <w:sz w:val="24"/>
          <w:szCs w:val="24"/>
        </w:rPr>
        <w:t>应根据合同约定及项目实际情况，及时、准确、完整地将工程造价咨询过程中所形成的咨询成果文件进行收集、整理、编制、传递、归档，并向</w:t>
      </w:r>
      <w:r>
        <w:rPr>
          <w:rFonts w:hint="eastAsia"/>
          <w:sz w:val="24"/>
          <w:szCs w:val="24"/>
        </w:rPr>
        <w:t>委托方</w:t>
      </w:r>
      <w:r>
        <w:rPr>
          <w:rFonts w:hint="eastAsia" w:cs="Calibri"/>
          <w:sz w:val="24"/>
          <w:szCs w:val="24"/>
        </w:rPr>
        <w:t>移交。</w:t>
      </w:r>
    </w:p>
    <w:p w14:paraId="6E028C08">
      <w:pPr>
        <w:adjustRightInd w:val="0"/>
        <w:snapToGrid w:val="0"/>
        <w:spacing w:line="360" w:lineRule="auto"/>
        <w:ind w:firstLine="480" w:firstLineChars="200"/>
        <w:rPr>
          <w:rFonts w:cs="Calibri"/>
          <w:sz w:val="24"/>
          <w:szCs w:val="24"/>
        </w:rPr>
      </w:pPr>
      <w:r>
        <w:rPr>
          <w:rFonts w:cs="Calibri"/>
          <w:sz w:val="24"/>
          <w:szCs w:val="24"/>
        </w:rPr>
        <w:t>6.</w:t>
      </w:r>
      <w:r>
        <w:rPr>
          <w:rFonts w:hint="eastAsia" w:cs="Calibri"/>
          <w:sz w:val="24"/>
          <w:szCs w:val="24"/>
        </w:rPr>
        <w:t>3</w:t>
      </w:r>
      <w:r>
        <w:rPr>
          <w:rFonts w:cs="Calibri"/>
          <w:sz w:val="24"/>
          <w:szCs w:val="24"/>
        </w:rPr>
        <w:t>.</w:t>
      </w:r>
      <w:r>
        <w:rPr>
          <w:rFonts w:hint="eastAsia" w:cs="Calibri"/>
          <w:sz w:val="24"/>
          <w:szCs w:val="24"/>
        </w:rPr>
        <w:t>9工程</w:t>
      </w:r>
      <w:r>
        <w:rPr>
          <w:rFonts w:hint="eastAsia"/>
          <w:sz w:val="24"/>
          <w:szCs w:val="28"/>
        </w:rPr>
        <w:t>咨询机构</w:t>
      </w:r>
      <w:r>
        <w:rPr>
          <w:rFonts w:hint="eastAsia" w:cs="Calibri"/>
          <w:sz w:val="24"/>
          <w:szCs w:val="24"/>
        </w:rPr>
        <w:t>应根据合同约定及项目实际情况，配合进行相关审计工作。</w:t>
      </w:r>
    </w:p>
    <w:p w14:paraId="01C3FDE8">
      <w:pPr>
        <w:adjustRightInd w:val="0"/>
        <w:snapToGrid w:val="0"/>
        <w:spacing w:line="360" w:lineRule="auto"/>
        <w:ind w:left="420" w:leftChars="200"/>
        <w:outlineLvl w:val="1"/>
        <w:rPr>
          <w:b/>
          <w:bCs/>
          <w:sz w:val="28"/>
          <w:szCs w:val="32"/>
        </w:rPr>
      </w:pPr>
      <w:bookmarkStart w:id="34" w:name="_Toc190875432"/>
      <w:r>
        <w:rPr>
          <w:rFonts w:hint="eastAsia"/>
          <w:b/>
          <w:bCs/>
          <w:sz w:val="28"/>
          <w:szCs w:val="32"/>
        </w:rPr>
        <w:t>6.4 建筑节能与绿色建筑咨询</w:t>
      </w:r>
      <w:bookmarkEnd w:id="34"/>
    </w:p>
    <w:p w14:paraId="56F062DB">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.4.1  </w:t>
      </w:r>
      <w:r>
        <w:rPr>
          <w:rFonts w:hint="eastAsia"/>
          <w:sz w:val="24"/>
          <w:szCs w:val="28"/>
        </w:rPr>
        <w:t>工程咨询机构可根据合同约定，针对建筑节能或绿色建筑解决方案为委托方提供咨询服务。</w:t>
      </w:r>
    </w:p>
    <w:p w14:paraId="5F0D4087">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.4.2  </w:t>
      </w:r>
      <w:r>
        <w:rPr>
          <w:rFonts w:hint="eastAsia"/>
          <w:sz w:val="24"/>
          <w:szCs w:val="28"/>
        </w:rPr>
        <w:t>建筑节能与绿色建筑咨询应依据有关法律法规、政策、标准及合同进行，并应符合上位规划对于项目所在片区建筑节能、绿色建筑相关规定。</w:t>
      </w:r>
    </w:p>
    <w:p w14:paraId="1A716B23">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.4.3  </w:t>
      </w:r>
      <w:r>
        <w:rPr>
          <w:rFonts w:hint="eastAsia"/>
          <w:sz w:val="24"/>
          <w:szCs w:val="28"/>
        </w:rPr>
        <w:t>工程咨询机构可针对新建、改建项目和扩建项目，以及既有建筑改造用能情况编制</w:t>
      </w:r>
      <w:r>
        <w:rPr>
          <w:rFonts w:hint="eastAsia" w:ascii="Times New Roman" w:hAnsi="Times New Roman"/>
          <w:sz w:val="24"/>
        </w:rPr>
        <w:t>固定资产投资项目节能评估</w:t>
      </w:r>
      <w:r>
        <w:rPr>
          <w:rFonts w:hint="eastAsia"/>
          <w:sz w:val="24"/>
          <w:szCs w:val="28"/>
        </w:rPr>
        <w:t>报告，并协助委托方办理节能审查手续。</w:t>
      </w:r>
    </w:p>
    <w:p w14:paraId="0C27ED5E">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.4.4  </w:t>
      </w:r>
      <w:r>
        <w:rPr>
          <w:rFonts w:hint="eastAsia"/>
          <w:sz w:val="24"/>
          <w:szCs w:val="28"/>
        </w:rPr>
        <w:t>工程咨询机构可在详细规划环节编制片区能源专项规划和绿色建筑专项规划。</w:t>
      </w:r>
    </w:p>
    <w:p w14:paraId="72C9E5D8">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.4.5  </w:t>
      </w:r>
      <w:r>
        <w:rPr>
          <w:rFonts w:hint="eastAsia"/>
          <w:sz w:val="24"/>
          <w:szCs w:val="28"/>
        </w:rPr>
        <w:t>工程咨询机构可通过监测、诊断、模拟、计算和优化设计，并通过利用可再生能源、应用高新节能技术及产品等途径，编制既有建筑节能改造方案。</w:t>
      </w:r>
    </w:p>
    <w:p w14:paraId="4683803C">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.4.4  </w:t>
      </w:r>
      <w:r>
        <w:rPr>
          <w:rFonts w:hint="eastAsia"/>
          <w:sz w:val="24"/>
          <w:szCs w:val="28"/>
        </w:rPr>
        <w:t>工程咨询机构可自行开展或委托专业机构对建筑围护结构热工性能、主要用能系统及设备能效进行测评，检验节能效果，并编制节能验收报告。</w:t>
      </w:r>
    </w:p>
    <w:p w14:paraId="3DDB65DF">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.4.7  </w:t>
      </w:r>
      <w:r>
        <w:rPr>
          <w:rFonts w:hint="eastAsia"/>
          <w:sz w:val="24"/>
          <w:szCs w:val="28"/>
        </w:rPr>
        <w:t>工程咨询机构可协助委托方开发建筑能耗监控平台，收集、统计和分析建筑能耗数据，监控建筑用能状况。</w:t>
      </w:r>
    </w:p>
    <w:p w14:paraId="24E00151">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.4.8  </w:t>
      </w:r>
      <w:r>
        <w:rPr>
          <w:rFonts w:hint="eastAsia"/>
          <w:sz w:val="24"/>
          <w:szCs w:val="28"/>
        </w:rPr>
        <w:t>工程咨询机构可协助委托方确定项目应执行的绿色建筑评价标准和应达到的目标，策划和优选绿色建筑技术方案，为绿色建造提供技术支持。</w:t>
      </w:r>
    </w:p>
    <w:p w14:paraId="409F4A15">
      <w:pPr>
        <w:adjustRightInd w:val="0"/>
        <w:snapToGrid w:val="0"/>
        <w:spacing w:line="360" w:lineRule="auto"/>
        <w:ind w:firstLine="480" w:firstLineChars="200"/>
        <w:jc w:val="left"/>
        <w:rPr>
          <w:sz w:val="24"/>
          <w:szCs w:val="28"/>
        </w:rPr>
      </w:pPr>
      <w:r>
        <w:rPr>
          <w:rFonts w:hint="eastAsia"/>
          <w:sz w:val="24"/>
          <w:szCs w:val="28"/>
        </w:rPr>
        <w:t>6</w:t>
      </w:r>
      <w:r>
        <w:rPr>
          <w:sz w:val="24"/>
          <w:szCs w:val="28"/>
        </w:rPr>
        <w:t xml:space="preserve">.4.9  </w:t>
      </w:r>
      <w:r>
        <w:rPr>
          <w:rFonts w:hint="eastAsia"/>
          <w:sz w:val="24"/>
          <w:szCs w:val="28"/>
        </w:rPr>
        <w:t>工程咨询机构应通过绿色建筑咨询，协助委托方通过第三方认证机构的认证评估，获得相应等级认证证书。</w:t>
      </w:r>
    </w:p>
    <w:p w14:paraId="2A3B9E1D">
      <w:pPr>
        <w:adjustRightInd w:val="0"/>
        <w:snapToGrid w:val="0"/>
        <w:spacing w:line="360" w:lineRule="auto"/>
        <w:ind w:left="420" w:leftChars="200"/>
        <w:outlineLvl w:val="1"/>
        <w:rPr>
          <w:b/>
          <w:bCs/>
          <w:sz w:val="28"/>
          <w:szCs w:val="32"/>
        </w:rPr>
      </w:pPr>
      <w:bookmarkStart w:id="35" w:name="_Toc190875433"/>
      <w:r>
        <w:rPr>
          <w:rFonts w:hint="eastAsia"/>
          <w:b/>
          <w:bCs/>
          <w:sz w:val="28"/>
          <w:szCs w:val="32"/>
        </w:rPr>
        <w:t>6</w:t>
      </w:r>
      <w:r>
        <w:rPr>
          <w:b/>
          <w:bCs/>
          <w:sz w:val="28"/>
          <w:szCs w:val="32"/>
        </w:rPr>
        <w:t>.</w:t>
      </w:r>
      <w:r>
        <w:rPr>
          <w:rFonts w:hint="eastAsia"/>
          <w:b/>
          <w:bCs/>
          <w:sz w:val="28"/>
          <w:szCs w:val="32"/>
        </w:rPr>
        <w:t>5</w:t>
      </w:r>
      <w:r>
        <w:rPr>
          <w:b/>
          <w:bCs/>
          <w:sz w:val="28"/>
          <w:szCs w:val="32"/>
        </w:rPr>
        <w:t xml:space="preserve"> </w:t>
      </w:r>
      <w:r>
        <w:rPr>
          <w:rFonts w:hint="eastAsia"/>
          <w:b/>
          <w:bCs/>
          <w:sz w:val="28"/>
          <w:szCs w:val="32"/>
        </w:rPr>
        <w:t>信息技术咨询</w:t>
      </w:r>
      <w:bookmarkEnd w:id="35"/>
    </w:p>
    <w:p w14:paraId="4C2D8544">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 xml:space="preserve">.1 </w:t>
      </w:r>
      <w:r>
        <w:rPr>
          <w:rFonts w:hint="eastAsia"/>
          <w:sz w:val="24"/>
          <w:szCs w:val="28"/>
        </w:rPr>
        <w:t>工程咨询机构可根据工程咨询合同约定，针对信息技术系统集成或某一特定信息技术应用，为委托方在项目投资决策、建设实施乃至运营维护阶段提供数字化解决方案。</w:t>
      </w:r>
    </w:p>
    <w:p w14:paraId="457182FC">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w:t>
      </w:r>
      <w:r>
        <w:rPr>
          <w:rFonts w:hint="eastAsia"/>
          <w:sz w:val="24"/>
          <w:szCs w:val="28"/>
        </w:rPr>
        <w:t>2</w:t>
      </w:r>
      <w:r>
        <w:rPr>
          <w:sz w:val="24"/>
          <w:szCs w:val="28"/>
        </w:rPr>
        <w:t xml:space="preserve"> </w:t>
      </w:r>
      <w:r>
        <w:rPr>
          <w:rFonts w:hint="eastAsia"/>
          <w:sz w:val="24"/>
          <w:szCs w:val="28"/>
        </w:rPr>
        <w:t>工程咨询机构应进行充分的需求调研和技术分析，并结合信息技术发展趋势和数字化实践经验，为委托方编制数字化建设总体方案，并提出数字化实施策略。</w:t>
      </w:r>
    </w:p>
    <w:p w14:paraId="34A6F089">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 xml:space="preserve">.3 </w:t>
      </w:r>
      <w:r>
        <w:rPr>
          <w:rFonts w:hint="eastAsia"/>
          <w:sz w:val="24"/>
          <w:szCs w:val="28"/>
        </w:rPr>
        <w:t>信息技术咨询依据主要包括下列内容：</w:t>
      </w:r>
    </w:p>
    <w:p w14:paraId="036682B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1</w:t>
      </w:r>
      <w:r>
        <w:rPr>
          <w:rFonts w:hint="eastAsia" w:ascii="Calibri" w:hAnsi="Calibri" w:cs="Calibri"/>
          <w:bCs/>
          <w:sz w:val="24"/>
          <w:szCs w:val="24"/>
          <w:lang w:val="en-US"/>
        </w:rPr>
        <w:t xml:space="preserve"> </w:t>
      </w:r>
      <w:r>
        <w:rPr>
          <w:rFonts w:ascii="Calibri" w:hAnsi="Calibri" w:cs="Calibri"/>
          <w:bCs/>
          <w:sz w:val="24"/>
          <w:szCs w:val="24"/>
          <w:lang w:val="en-US"/>
        </w:rPr>
        <w:t xml:space="preserve"> </w:t>
      </w:r>
      <w:r>
        <w:rPr>
          <w:rFonts w:hint="eastAsia" w:ascii="Calibri" w:hAnsi="Calibri" w:cs="Calibri"/>
          <w:bCs/>
          <w:sz w:val="24"/>
          <w:szCs w:val="24"/>
          <w:lang w:val="en-US"/>
        </w:rPr>
        <w:t>相关法律法规、部门规章及政策；</w:t>
      </w:r>
    </w:p>
    <w:p w14:paraId="0EB0D91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 xml:space="preserve"> 工程建设标准及信息技术标准；</w:t>
      </w:r>
    </w:p>
    <w:p w14:paraId="3184BC1E">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 xml:space="preserve"> 相关阶段工程咨询成果文件；</w:t>
      </w:r>
    </w:p>
    <w:p w14:paraId="4C319B4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 xml:space="preserve"> 工程咨询合同及委托方信息技术咨询需求。</w:t>
      </w:r>
    </w:p>
    <w:p w14:paraId="095E6D87">
      <w:pPr>
        <w:overflowPunct w:val="0"/>
        <w:spacing w:line="360" w:lineRule="auto"/>
        <w:ind w:firstLine="465"/>
        <w:rPr>
          <w:rFonts w:ascii="Times New Roman" w:hAnsi="Times New Roman"/>
          <w:bCs/>
          <w:sz w:val="24"/>
          <w:szCs w:val="24"/>
        </w:rPr>
      </w:pPr>
      <w:r>
        <w:rPr>
          <w:rFonts w:hint="eastAsia"/>
          <w:sz w:val="24"/>
          <w:szCs w:val="28"/>
        </w:rPr>
        <w:t>6</w:t>
      </w:r>
      <w:r>
        <w:rPr>
          <w:sz w:val="24"/>
          <w:szCs w:val="28"/>
        </w:rPr>
        <w:t>.</w:t>
      </w:r>
      <w:r>
        <w:rPr>
          <w:rFonts w:hint="eastAsia"/>
          <w:sz w:val="24"/>
          <w:szCs w:val="28"/>
        </w:rPr>
        <w:t>5</w:t>
      </w:r>
      <w:r>
        <w:rPr>
          <w:sz w:val="24"/>
          <w:szCs w:val="28"/>
        </w:rPr>
        <w:t>.</w:t>
      </w:r>
      <w:r>
        <w:rPr>
          <w:rFonts w:hint="eastAsia"/>
          <w:sz w:val="24"/>
          <w:szCs w:val="28"/>
        </w:rPr>
        <w:t>4</w:t>
      </w:r>
      <w:r>
        <w:rPr>
          <w:sz w:val="24"/>
          <w:szCs w:val="28"/>
        </w:rPr>
        <w:t xml:space="preserve"> </w:t>
      </w:r>
      <w:r>
        <w:rPr>
          <w:rFonts w:hint="eastAsia"/>
          <w:sz w:val="24"/>
          <w:szCs w:val="28"/>
        </w:rPr>
        <w:t>工程咨询机构应以建筑信息模型技术集成为核心，综合集成地理信息系统、</w:t>
      </w:r>
      <w:r>
        <w:rPr>
          <w:rFonts w:hint="eastAsia" w:ascii="Times New Roman" w:hAnsi="Times New Roman"/>
          <w:bCs/>
          <w:sz w:val="24"/>
          <w:szCs w:val="24"/>
        </w:rPr>
        <w:t>物联网、大数据、人工智能等现代信息技术，为委托方提供数字化整体解决方案。</w:t>
      </w:r>
    </w:p>
    <w:p w14:paraId="241FB25B">
      <w:pPr>
        <w:overflowPunct w:val="0"/>
        <w:spacing w:line="360" w:lineRule="auto"/>
        <w:ind w:firstLine="465"/>
        <w:rPr>
          <w:sz w:val="24"/>
          <w:szCs w:val="28"/>
        </w:rPr>
      </w:pPr>
      <w:r>
        <w:rPr>
          <w:rFonts w:hint="eastAsia" w:ascii="Times New Roman" w:hAnsi="Times New Roman"/>
          <w:bCs/>
          <w:sz w:val="24"/>
          <w:szCs w:val="24"/>
        </w:rPr>
        <w:t>6</w:t>
      </w:r>
      <w:r>
        <w:rPr>
          <w:rFonts w:ascii="Times New Roman" w:hAnsi="Times New Roman"/>
          <w:bCs/>
          <w:sz w:val="24"/>
          <w:szCs w:val="24"/>
        </w:rPr>
        <w:t>.</w:t>
      </w:r>
      <w:r>
        <w:rPr>
          <w:rFonts w:hint="eastAsia" w:ascii="Times New Roman" w:hAnsi="Times New Roman"/>
          <w:bCs/>
          <w:sz w:val="24"/>
          <w:szCs w:val="24"/>
        </w:rPr>
        <w:t>5</w:t>
      </w:r>
      <w:r>
        <w:rPr>
          <w:rFonts w:ascii="Times New Roman" w:hAnsi="Times New Roman"/>
          <w:bCs/>
          <w:sz w:val="24"/>
          <w:szCs w:val="24"/>
        </w:rPr>
        <w:t xml:space="preserve">.5 </w:t>
      </w:r>
      <w:r>
        <w:rPr>
          <w:rFonts w:hint="eastAsia" w:ascii="Times New Roman" w:hAnsi="Times New Roman"/>
          <w:bCs/>
          <w:sz w:val="24"/>
          <w:szCs w:val="24"/>
        </w:rPr>
        <w:t>在项目投资决策阶段，</w:t>
      </w:r>
      <w:r>
        <w:rPr>
          <w:rFonts w:hint="eastAsia"/>
          <w:sz w:val="24"/>
          <w:szCs w:val="28"/>
        </w:rPr>
        <w:t>工程咨询机构可通过构建项目仿真模型进行项目场址优选、技术经济及建设条件分析，也可为委托方策划项目建设实施阶段信息技术应用方案。</w:t>
      </w:r>
    </w:p>
    <w:p w14:paraId="6F0A0E52">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 xml:space="preserve">.6 </w:t>
      </w:r>
      <w:r>
        <w:rPr>
          <w:rFonts w:hint="eastAsia"/>
          <w:sz w:val="24"/>
          <w:szCs w:val="28"/>
        </w:rPr>
        <w:t>在项目设计阶段，工程咨询机构可构建建筑信息模型，进行设计方案比选、建筑性能模拟分析、交通仿真优化、管线碰撞检测、虚拟仿真漫游、工程算量计价等。</w:t>
      </w:r>
    </w:p>
    <w:p w14:paraId="6FD441A5">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 xml:space="preserve">.7 </w:t>
      </w:r>
      <w:r>
        <w:rPr>
          <w:rFonts w:hint="eastAsia"/>
          <w:sz w:val="24"/>
          <w:szCs w:val="28"/>
        </w:rPr>
        <w:t>在项目施工阶段，工程咨询机构可协助委托方构建以建筑信息模型为核心的协同工作平台，进行施工放样及测量、</w:t>
      </w:r>
      <w:r>
        <w:rPr>
          <w:sz w:val="24"/>
          <w:szCs w:val="28"/>
        </w:rPr>
        <w:t>4D</w:t>
      </w:r>
      <w:r>
        <w:rPr>
          <w:rFonts w:hint="eastAsia"/>
          <w:sz w:val="24"/>
          <w:szCs w:val="28"/>
        </w:rPr>
        <w:t>施工模拟及进度管理、质量与安全管理、设备与材料智能管理、</w:t>
      </w:r>
      <w:r>
        <w:rPr>
          <w:sz w:val="24"/>
          <w:szCs w:val="28"/>
        </w:rPr>
        <w:t>5D</w:t>
      </w:r>
      <w:r>
        <w:rPr>
          <w:rFonts w:hint="eastAsia"/>
          <w:sz w:val="24"/>
          <w:szCs w:val="28"/>
        </w:rPr>
        <w:t>成本管理等。</w:t>
      </w:r>
    </w:p>
    <w:p w14:paraId="204E23C2">
      <w:pPr>
        <w:adjustRightInd w:val="0"/>
        <w:snapToGrid w:val="0"/>
        <w:spacing w:line="360" w:lineRule="auto"/>
        <w:ind w:firstLine="480" w:firstLineChars="200"/>
        <w:jc w:val="left"/>
      </w:pPr>
      <w:r>
        <w:rPr>
          <w:rFonts w:hint="eastAsia"/>
          <w:sz w:val="24"/>
          <w:szCs w:val="28"/>
        </w:rPr>
        <w:t>6</w:t>
      </w:r>
      <w:r>
        <w:rPr>
          <w:sz w:val="24"/>
          <w:szCs w:val="28"/>
        </w:rPr>
        <w:t>.</w:t>
      </w:r>
      <w:r>
        <w:rPr>
          <w:rFonts w:hint="eastAsia"/>
          <w:sz w:val="24"/>
          <w:szCs w:val="28"/>
        </w:rPr>
        <w:t>5</w:t>
      </w:r>
      <w:r>
        <w:rPr>
          <w:sz w:val="24"/>
          <w:szCs w:val="28"/>
        </w:rPr>
        <w:t xml:space="preserve">.8 </w:t>
      </w:r>
      <w:r>
        <w:rPr>
          <w:rFonts w:hint="eastAsia"/>
          <w:sz w:val="24"/>
          <w:szCs w:val="28"/>
        </w:rPr>
        <w:t>在项目竣工阶段，工程咨询机构可完成工程竣工BIM模型。</w:t>
      </w:r>
    </w:p>
    <w:p w14:paraId="0D94AB68">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5</w:t>
      </w:r>
      <w:r>
        <w:rPr>
          <w:sz w:val="24"/>
          <w:szCs w:val="28"/>
        </w:rPr>
        <w:t xml:space="preserve">.9 </w:t>
      </w:r>
      <w:r>
        <w:rPr>
          <w:rFonts w:hint="eastAsia"/>
          <w:sz w:val="24"/>
          <w:szCs w:val="28"/>
        </w:rPr>
        <w:t>工程咨询机构可在项目运营阶段提供智能运营管理系统、智能资产管理系统、智能空间管理系统、应急管理系统等建设咨询服务。</w:t>
      </w:r>
    </w:p>
    <w:p w14:paraId="3731169E">
      <w:pPr>
        <w:adjustRightInd w:val="0"/>
        <w:snapToGrid w:val="0"/>
        <w:spacing w:line="360" w:lineRule="auto"/>
        <w:ind w:left="420" w:leftChars="200"/>
        <w:outlineLvl w:val="1"/>
        <w:rPr>
          <w:b/>
          <w:bCs/>
          <w:sz w:val="28"/>
          <w:szCs w:val="32"/>
        </w:rPr>
      </w:pPr>
      <w:bookmarkStart w:id="36" w:name="_Toc190875434"/>
      <w:r>
        <w:rPr>
          <w:rFonts w:hint="eastAsia"/>
          <w:b/>
          <w:bCs/>
          <w:sz w:val="28"/>
          <w:szCs w:val="32"/>
        </w:rPr>
        <w:t>6</w:t>
      </w:r>
      <w:r>
        <w:rPr>
          <w:b/>
          <w:bCs/>
          <w:sz w:val="28"/>
          <w:szCs w:val="32"/>
        </w:rPr>
        <w:t>.</w:t>
      </w:r>
      <w:r>
        <w:rPr>
          <w:rFonts w:hint="eastAsia"/>
          <w:b/>
          <w:bCs/>
          <w:sz w:val="28"/>
          <w:szCs w:val="32"/>
        </w:rPr>
        <w:t>6</w:t>
      </w:r>
      <w:r>
        <w:rPr>
          <w:b/>
          <w:bCs/>
          <w:sz w:val="28"/>
          <w:szCs w:val="32"/>
        </w:rPr>
        <w:t xml:space="preserve"> </w:t>
      </w:r>
      <w:r>
        <w:rPr>
          <w:rFonts w:hint="eastAsia"/>
          <w:b/>
          <w:bCs/>
          <w:sz w:val="28"/>
          <w:szCs w:val="32"/>
        </w:rPr>
        <w:t>工程保险咨询</w:t>
      </w:r>
      <w:bookmarkEnd w:id="36"/>
    </w:p>
    <w:p w14:paraId="713D80F7">
      <w:pPr>
        <w:adjustRightInd w:val="0"/>
        <w:snapToGrid w:val="0"/>
        <w:spacing w:line="360" w:lineRule="auto"/>
        <w:ind w:firstLine="480" w:firstLineChars="200"/>
        <w:jc w:val="left"/>
        <w:rPr>
          <w:sz w:val="24"/>
          <w:szCs w:val="28"/>
        </w:rPr>
      </w:pPr>
      <w:r>
        <w:rPr>
          <w:rFonts w:hint="eastAsia"/>
          <w:sz w:val="24"/>
          <w:szCs w:val="28"/>
        </w:rPr>
        <w:t>6</w:t>
      </w:r>
      <w:r>
        <w:rPr>
          <w:sz w:val="24"/>
          <w:szCs w:val="28"/>
        </w:rPr>
        <w:t>.</w:t>
      </w:r>
      <w:r>
        <w:rPr>
          <w:rFonts w:hint="eastAsia"/>
          <w:sz w:val="24"/>
          <w:szCs w:val="28"/>
        </w:rPr>
        <w:t>6</w:t>
      </w:r>
      <w:r>
        <w:rPr>
          <w:sz w:val="24"/>
          <w:szCs w:val="28"/>
        </w:rPr>
        <w:t xml:space="preserve">.1 </w:t>
      </w:r>
      <w:r>
        <w:rPr>
          <w:rFonts w:hint="eastAsia"/>
          <w:sz w:val="24"/>
          <w:szCs w:val="28"/>
        </w:rPr>
        <w:t>工程咨询机构可根据合同约定，为委托方提供项目风险识别、工程保险险种选择及工程保险管理等方面的咨询服务。</w:t>
      </w:r>
    </w:p>
    <w:p w14:paraId="5F896E34">
      <w:pPr>
        <w:adjustRightInd w:val="0"/>
        <w:snapToGrid w:val="0"/>
        <w:spacing w:line="360" w:lineRule="auto"/>
        <w:ind w:firstLine="480" w:firstLineChars="200"/>
        <w:rPr>
          <w:sz w:val="24"/>
          <w:szCs w:val="28"/>
        </w:rPr>
      </w:pPr>
      <w:r>
        <w:rPr>
          <w:rFonts w:hint="eastAsia"/>
          <w:sz w:val="24"/>
          <w:szCs w:val="28"/>
        </w:rPr>
        <w:t>6.6</w:t>
      </w:r>
      <w:r>
        <w:rPr>
          <w:sz w:val="24"/>
          <w:szCs w:val="28"/>
        </w:rPr>
        <w:t xml:space="preserve">.2 </w:t>
      </w:r>
      <w:r>
        <w:rPr>
          <w:rFonts w:hint="eastAsia"/>
          <w:sz w:val="24"/>
          <w:szCs w:val="28"/>
        </w:rPr>
        <w:t>工程保险咨询依据主要包括下列内容：</w:t>
      </w:r>
    </w:p>
    <w:p w14:paraId="36559F1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1  </w:t>
      </w:r>
      <w:r>
        <w:rPr>
          <w:rFonts w:hint="eastAsia" w:ascii="Calibri" w:hAnsi="Calibri" w:cs="Calibri"/>
          <w:bCs/>
          <w:sz w:val="24"/>
          <w:szCs w:val="24"/>
          <w:lang w:val="en-US"/>
        </w:rPr>
        <w:t>相关法律法规、部门规章及规范性文件；</w:t>
      </w:r>
    </w:p>
    <w:p w14:paraId="0DC4821C">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2  </w:t>
      </w:r>
      <w:r>
        <w:rPr>
          <w:rFonts w:hint="eastAsia" w:ascii="Calibri" w:hAnsi="Calibri" w:cs="Calibri"/>
          <w:bCs/>
          <w:sz w:val="24"/>
          <w:szCs w:val="24"/>
          <w:lang w:val="en-US"/>
        </w:rPr>
        <w:t>工程建设标准及各类风险评估报告；</w:t>
      </w:r>
    </w:p>
    <w:p w14:paraId="46C0165B">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项目可行性研究报告及其批复文件；</w:t>
      </w:r>
    </w:p>
    <w:p w14:paraId="52268503">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4  </w:t>
      </w:r>
      <w:r>
        <w:rPr>
          <w:rFonts w:hint="eastAsia" w:ascii="Calibri" w:hAnsi="Calibri" w:cs="Calibri"/>
          <w:bCs/>
          <w:sz w:val="24"/>
          <w:szCs w:val="24"/>
          <w:lang w:val="en-US"/>
        </w:rPr>
        <w:t>工程勘察设计文件、招投标及合同文件；</w:t>
      </w:r>
    </w:p>
    <w:p w14:paraId="2AC9A9C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委托合同及委托方投保需求。</w:t>
      </w:r>
    </w:p>
    <w:p w14:paraId="1582B0B4">
      <w:pPr>
        <w:adjustRightInd w:val="0"/>
        <w:snapToGrid w:val="0"/>
        <w:spacing w:line="360" w:lineRule="auto"/>
        <w:ind w:firstLine="480" w:firstLineChars="200"/>
        <w:jc w:val="left"/>
        <w:rPr>
          <w:sz w:val="24"/>
          <w:szCs w:val="28"/>
        </w:rPr>
      </w:pPr>
      <w:r>
        <w:rPr>
          <w:rFonts w:hint="eastAsia"/>
          <w:sz w:val="24"/>
          <w:szCs w:val="28"/>
        </w:rPr>
        <w:t>6.6</w:t>
      </w:r>
      <w:r>
        <w:rPr>
          <w:sz w:val="24"/>
          <w:szCs w:val="28"/>
        </w:rPr>
        <w:t xml:space="preserve">.3 </w:t>
      </w:r>
      <w:r>
        <w:rPr>
          <w:rFonts w:hint="eastAsia"/>
          <w:sz w:val="24"/>
          <w:szCs w:val="28"/>
        </w:rPr>
        <w:t>工程咨询机构可进行工程保险方案设计，包括保险标的、保险险种、保险费率、承保人、受益人、保险期限等的确定。</w:t>
      </w:r>
    </w:p>
    <w:p w14:paraId="51C19D77">
      <w:pPr>
        <w:adjustRightInd w:val="0"/>
        <w:snapToGrid w:val="0"/>
        <w:spacing w:line="360" w:lineRule="auto"/>
        <w:ind w:firstLine="480" w:firstLineChars="200"/>
        <w:rPr>
          <w:sz w:val="24"/>
          <w:szCs w:val="28"/>
        </w:rPr>
      </w:pPr>
      <w:r>
        <w:rPr>
          <w:rFonts w:hint="eastAsia"/>
          <w:sz w:val="24"/>
          <w:szCs w:val="28"/>
        </w:rPr>
        <w:t>6.6</w:t>
      </w:r>
      <w:r>
        <w:rPr>
          <w:sz w:val="24"/>
          <w:szCs w:val="28"/>
        </w:rPr>
        <w:t xml:space="preserve">.4 </w:t>
      </w:r>
      <w:r>
        <w:rPr>
          <w:rFonts w:hint="eastAsia"/>
          <w:sz w:val="24"/>
          <w:szCs w:val="28"/>
        </w:rPr>
        <w:t>工程咨询机构可协助委托方评价和优选保险人，并可参与工程保险合同谈判和签订。</w:t>
      </w:r>
    </w:p>
    <w:p w14:paraId="497DEC4E">
      <w:pPr>
        <w:adjustRightInd w:val="0"/>
        <w:snapToGrid w:val="0"/>
        <w:spacing w:line="360" w:lineRule="auto"/>
        <w:ind w:firstLine="480" w:firstLineChars="200"/>
        <w:rPr>
          <w:sz w:val="24"/>
          <w:szCs w:val="28"/>
        </w:rPr>
      </w:pPr>
      <w:r>
        <w:rPr>
          <w:rFonts w:hint="eastAsia"/>
          <w:sz w:val="24"/>
          <w:szCs w:val="28"/>
        </w:rPr>
        <w:t>6.6</w:t>
      </w:r>
      <w:r>
        <w:rPr>
          <w:sz w:val="24"/>
          <w:szCs w:val="28"/>
        </w:rPr>
        <w:t xml:space="preserve">.5 </w:t>
      </w:r>
      <w:r>
        <w:rPr>
          <w:rFonts w:hint="eastAsia"/>
          <w:sz w:val="24"/>
          <w:szCs w:val="28"/>
        </w:rPr>
        <w:t>工程咨询机构可编制工程保险索赔报告，并可协助委托方实施工程保险索赔。</w:t>
      </w:r>
    </w:p>
    <w:p w14:paraId="7EDF3D8E">
      <w:pPr>
        <w:adjustRightInd w:val="0"/>
        <w:snapToGrid w:val="0"/>
        <w:spacing w:line="360" w:lineRule="auto"/>
        <w:ind w:left="420" w:leftChars="200"/>
        <w:outlineLvl w:val="1"/>
        <w:rPr>
          <w:b/>
          <w:bCs/>
          <w:sz w:val="28"/>
          <w:szCs w:val="32"/>
        </w:rPr>
      </w:pPr>
      <w:bookmarkStart w:id="37" w:name="_Toc190875435"/>
      <w:r>
        <w:rPr>
          <w:rFonts w:hint="eastAsia"/>
          <w:b/>
          <w:bCs/>
          <w:sz w:val="28"/>
          <w:szCs w:val="32"/>
        </w:rPr>
        <w:t>6.7</w:t>
      </w:r>
      <w:r>
        <w:rPr>
          <w:b/>
          <w:bCs/>
          <w:sz w:val="28"/>
          <w:szCs w:val="32"/>
        </w:rPr>
        <w:t xml:space="preserve"> </w:t>
      </w:r>
      <w:r>
        <w:rPr>
          <w:rFonts w:hint="eastAsia"/>
          <w:b/>
          <w:bCs/>
          <w:sz w:val="28"/>
          <w:szCs w:val="32"/>
        </w:rPr>
        <w:t>ESG咨询</w:t>
      </w:r>
      <w:bookmarkEnd w:id="37"/>
    </w:p>
    <w:p w14:paraId="72CEC146">
      <w:pPr>
        <w:tabs>
          <w:tab w:val="left" w:pos="1580"/>
        </w:tabs>
        <w:adjustRightInd w:val="0"/>
        <w:snapToGrid w:val="0"/>
        <w:spacing w:line="360" w:lineRule="auto"/>
        <w:ind w:firstLine="480" w:firstLineChars="200"/>
        <w:rPr>
          <w:sz w:val="24"/>
          <w:szCs w:val="28"/>
        </w:rPr>
      </w:pPr>
      <w:r>
        <w:rPr>
          <w:rFonts w:hint="eastAsia"/>
          <w:sz w:val="24"/>
          <w:szCs w:val="28"/>
        </w:rPr>
        <w:t xml:space="preserve">6.7.1 </w:t>
      </w:r>
      <w:r>
        <w:rPr>
          <w:sz w:val="24"/>
          <w:szCs w:val="28"/>
        </w:rPr>
        <w:t>工程咨询机构应依据国家相关政策、行业标准及国际最佳实践，结合项目特点和委托方需求，为委托方提供环境、社会和公司治理（ESG）咨询服务，助力项目实现可持续发展目标。</w:t>
      </w:r>
    </w:p>
    <w:p w14:paraId="2E17CFD1">
      <w:pPr>
        <w:tabs>
          <w:tab w:val="left" w:pos="1580"/>
        </w:tabs>
        <w:adjustRightInd w:val="0"/>
        <w:snapToGrid w:val="0"/>
        <w:spacing w:line="360" w:lineRule="auto"/>
        <w:ind w:firstLine="480" w:firstLineChars="200"/>
        <w:rPr>
          <w:sz w:val="24"/>
          <w:szCs w:val="28"/>
        </w:rPr>
      </w:pPr>
      <w:r>
        <w:rPr>
          <w:rFonts w:hint="eastAsia"/>
          <w:sz w:val="24"/>
          <w:szCs w:val="28"/>
        </w:rPr>
        <w:t>6.7.2 ESG咨询服务应包括但不限于以下内容：项目环境影响评估与优化建议、社会责任履行与利益相关方沟通策略、公司治理结构优化与风险管理、可持续发展目标的制定与实施路径规划、ESG绩效指标体系的建立与监测、ESG信息披露与报告编制。</w:t>
      </w:r>
    </w:p>
    <w:p w14:paraId="7C82CE9B">
      <w:pPr>
        <w:tabs>
          <w:tab w:val="left" w:pos="1580"/>
        </w:tabs>
        <w:adjustRightInd w:val="0"/>
        <w:snapToGrid w:val="0"/>
        <w:spacing w:line="360" w:lineRule="auto"/>
        <w:ind w:firstLine="480" w:firstLineChars="200"/>
        <w:rPr>
          <w:sz w:val="24"/>
          <w:szCs w:val="28"/>
        </w:rPr>
      </w:pPr>
      <w:r>
        <w:rPr>
          <w:rFonts w:hint="eastAsia"/>
          <w:sz w:val="24"/>
          <w:szCs w:val="28"/>
        </w:rPr>
        <w:t>6.7.3</w:t>
      </w:r>
      <w:r>
        <w:rPr>
          <w:sz w:val="24"/>
          <w:szCs w:val="28"/>
        </w:rPr>
        <w:t>工程咨询机构应协助委托方识别项目全生命周期内的环境风险，提出节能减排、资源循环利用等绿色解决方案，推动项目实现低碳、环保目标。</w:t>
      </w:r>
    </w:p>
    <w:p w14:paraId="16C1379B">
      <w:pPr>
        <w:tabs>
          <w:tab w:val="left" w:pos="1580"/>
        </w:tabs>
        <w:adjustRightInd w:val="0"/>
        <w:snapToGrid w:val="0"/>
        <w:spacing w:line="360" w:lineRule="auto"/>
        <w:ind w:firstLine="480" w:firstLineChars="200"/>
        <w:rPr>
          <w:sz w:val="24"/>
          <w:szCs w:val="28"/>
        </w:rPr>
      </w:pPr>
      <w:r>
        <w:rPr>
          <w:rFonts w:hint="eastAsia"/>
          <w:sz w:val="24"/>
          <w:szCs w:val="28"/>
        </w:rPr>
        <w:t xml:space="preserve">6.7.4 </w:t>
      </w:r>
      <w:r>
        <w:rPr>
          <w:sz w:val="24"/>
          <w:szCs w:val="28"/>
        </w:rPr>
        <w:t>工程咨询机构应评估项目对社会的影响，包括就业创造、社区发展、文化保护等方面，制定利益相关方参与机制，促进项目与社会的和谐发展。</w:t>
      </w:r>
    </w:p>
    <w:p w14:paraId="7FBC9246">
      <w:pPr>
        <w:tabs>
          <w:tab w:val="left" w:pos="1580"/>
        </w:tabs>
        <w:adjustRightInd w:val="0"/>
        <w:snapToGrid w:val="0"/>
        <w:spacing w:line="360" w:lineRule="auto"/>
        <w:ind w:firstLine="480" w:firstLineChars="200"/>
        <w:rPr>
          <w:sz w:val="24"/>
          <w:szCs w:val="28"/>
        </w:rPr>
      </w:pPr>
      <w:r>
        <w:rPr>
          <w:rFonts w:hint="eastAsia"/>
          <w:sz w:val="24"/>
          <w:szCs w:val="28"/>
        </w:rPr>
        <w:t xml:space="preserve">6.7.5 </w:t>
      </w:r>
      <w:r>
        <w:rPr>
          <w:sz w:val="24"/>
          <w:szCs w:val="28"/>
        </w:rPr>
        <w:t>工程咨询机构应协助委托方完善公司治理结构，建立健全内部控制与风险管理机制，提升项目决策透明度与科学性。</w:t>
      </w:r>
    </w:p>
    <w:p w14:paraId="4AD8FB9F">
      <w:pPr>
        <w:tabs>
          <w:tab w:val="left" w:pos="1580"/>
        </w:tabs>
        <w:adjustRightInd w:val="0"/>
        <w:snapToGrid w:val="0"/>
        <w:spacing w:line="360" w:lineRule="auto"/>
        <w:ind w:firstLine="480" w:firstLineChars="200"/>
        <w:rPr>
          <w:sz w:val="24"/>
          <w:szCs w:val="28"/>
        </w:rPr>
      </w:pPr>
      <w:r>
        <w:rPr>
          <w:rFonts w:hint="eastAsia"/>
          <w:sz w:val="24"/>
          <w:szCs w:val="28"/>
        </w:rPr>
        <w:t xml:space="preserve">6.7.6 </w:t>
      </w:r>
      <w:r>
        <w:rPr>
          <w:sz w:val="24"/>
          <w:szCs w:val="28"/>
        </w:rPr>
        <w:t>工程咨询机构应帮助委托方建立ESG绩效指标体系，定期监测与评估项目ESG表现，提出改进措施，持续提升项目可持续发展能力。</w:t>
      </w:r>
    </w:p>
    <w:p w14:paraId="01895CC5">
      <w:pPr>
        <w:tabs>
          <w:tab w:val="left" w:pos="1580"/>
        </w:tabs>
        <w:adjustRightInd w:val="0"/>
        <w:snapToGrid w:val="0"/>
        <w:spacing w:line="360" w:lineRule="auto"/>
        <w:ind w:firstLine="480" w:firstLineChars="200"/>
        <w:rPr>
          <w:rFonts w:hint="eastAsia"/>
          <w:sz w:val="24"/>
          <w:szCs w:val="28"/>
        </w:rPr>
      </w:pPr>
      <w:r>
        <w:rPr>
          <w:rFonts w:hint="eastAsia"/>
          <w:sz w:val="24"/>
          <w:szCs w:val="28"/>
        </w:rPr>
        <w:t xml:space="preserve">6.7.7 </w:t>
      </w:r>
      <w:r>
        <w:rPr>
          <w:sz w:val="24"/>
          <w:szCs w:val="28"/>
        </w:rPr>
        <w:t>工程咨询机构应指导委托方按照国际国内相关标准，编制ESG报告，确保信息披露的真实性、完整性和及时性，增强项目透明度与社会信任。</w:t>
      </w:r>
    </w:p>
    <w:p w14:paraId="1E99EC99">
      <w:pPr>
        <w:tabs>
          <w:tab w:val="left" w:pos="1580"/>
        </w:tabs>
        <w:adjustRightInd w:val="0"/>
        <w:snapToGrid w:val="0"/>
        <w:spacing w:line="360" w:lineRule="auto"/>
        <w:ind w:firstLine="480" w:firstLineChars="200"/>
        <w:rPr>
          <w:sz w:val="24"/>
          <w:szCs w:val="28"/>
        </w:rPr>
      </w:pPr>
      <w:r>
        <w:rPr>
          <w:rFonts w:hint="eastAsia"/>
          <w:sz w:val="24"/>
          <w:szCs w:val="28"/>
        </w:rPr>
        <w:t xml:space="preserve">6.7.8 </w:t>
      </w:r>
      <w:r>
        <w:rPr>
          <w:sz w:val="24"/>
          <w:szCs w:val="28"/>
        </w:rPr>
        <w:t>工程咨询机构应为委托方提供ESG相关培训，提升项目团队的可持续发展意识与能力，推动ESG理念融入项目管理全过程。</w:t>
      </w:r>
    </w:p>
    <w:p w14:paraId="51926082">
      <w:pPr>
        <w:tabs>
          <w:tab w:val="left" w:pos="1580"/>
        </w:tabs>
        <w:adjustRightInd w:val="0"/>
        <w:snapToGrid w:val="0"/>
        <w:spacing w:line="360" w:lineRule="auto"/>
        <w:ind w:firstLine="480" w:firstLineChars="200"/>
        <w:rPr>
          <w:rFonts w:hint="eastAsia"/>
        </w:rPr>
      </w:pPr>
      <w:r>
        <w:rPr>
          <w:rFonts w:hint="eastAsia"/>
          <w:sz w:val="24"/>
          <w:szCs w:val="28"/>
        </w:rPr>
        <w:t xml:space="preserve">6.7.9 </w:t>
      </w:r>
      <w:r>
        <w:rPr>
          <w:sz w:val="24"/>
          <w:szCs w:val="28"/>
        </w:rPr>
        <w:t>工程咨询机构应协助委托方评估项目在ESG方面的合规性，确保项目符合国家法律法规及国际标准要求，避免潜在风险。</w:t>
      </w:r>
    </w:p>
    <w:p w14:paraId="7F94D0C2">
      <w:pPr>
        <w:widowControl/>
        <w:spacing w:line="360" w:lineRule="auto"/>
        <w:jc w:val="left"/>
      </w:pPr>
      <w:r>
        <w:br w:type="page"/>
      </w:r>
    </w:p>
    <w:p w14:paraId="1D16D7DB">
      <w:pPr>
        <w:widowControl/>
        <w:spacing w:line="360" w:lineRule="auto"/>
        <w:jc w:val="left"/>
        <w:outlineLvl w:val="0"/>
        <w:rPr>
          <w:b/>
          <w:bCs/>
          <w:sz w:val="28"/>
          <w:szCs w:val="32"/>
        </w:rPr>
      </w:pPr>
      <w:bookmarkStart w:id="38" w:name="_Toc190875436"/>
      <w:r>
        <w:rPr>
          <w:rFonts w:hint="eastAsia"/>
          <w:b/>
          <w:bCs/>
          <w:sz w:val="28"/>
          <w:szCs w:val="32"/>
        </w:rPr>
        <w:t>附录1 全过程工程咨询服务清单</w:t>
      </w:r>
      <w:bookmarkEnd w:id="38"/>
    </w:p>
    <w:p w14:paraId="1DFE0058">
      <w:pPr>
        <w:spacing w:before="143" w:line="360" w:lineRule="auto"/>
        <w:ind w:left="2177"/>
      </w:pPr>
      <w:bookmarkStart w:id="39" w:name="bookmark112"/>
      <w:bookmarkEnd w:id="39"/>
      <w:r>
        <w:rPr>
          <w:rFonts w:ascii="宋体" w:hAnsi="宋体" w:cs="宋体"/>
          <w:b/>
          <w:bCs/>
          <w:spacing w:val="-6"/>
          <w:sz w:val="32"/>
          <w:szCs w:val="32"/>
        </w:rPr>
        <w:t>全过程</w:t>
      </w:r>
      <w:r>
        <w:rPr>
          <w:rFonts w:hint="eastAsia" w:ascii="宋体" w:hAnsi="宋体" w:cs="宋体"/>
          <w:b/>
          <w:bCs/>
          <w:spacing w:val="-6"/>
          <w:sz w:val="32"/>
          <w:szCs w:val="32"/>
        </w:rPr>
        <w:t>工程咨询</w:t>
      </w:r>
      <w:r>
        <w:rPr>
          <w:rFonts w:ascii="宋体" w:hAnsi="宋体" w:cs="宋体"/>
          <w:b/>
          <w:bCs/>
          <w:spacing w:val="-6"/>
          <w:sz w:val="32"/>
          <w:szCs w:val="32"/>
        </w:rPr>
        <w:t>服务</w:t>
      </w:r>
      <w:r>
        <w:rPr>
          <w:rFonts w:hint="eastAsia" w:ascii="宋体" w:hAnsi="宋体" w:cs="宋体"/>
          <w:b/>
          <w:bCs/>
          <w:spacing w:val="-6"/>
          <w:sz w:val="32"/>
          <w:szCs w:val="32"/>
        </w:rPr>
        <w:t>清单</w:t>
      </w:r>
    </w:p>
    <w:tbl>
      <w:tblPr>
        <w:tblStyle w:val="54"/>
        <w:tblW w:w="100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5"/>
        <w:gridCol w:w="7788"/>
        <w:gridCol w:w="882"/>
      </w:tblGrid>
      <w:tr w14:paraId="52670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365" w:type="dxa"/>
            <w:vAlign w:val="center"/>
          </w:tcPr>
          <w:p w14:paraId="345FFF05">
            <w:pPr>
              <w:pStyle w:val="53"/>
              <w:spacing w:line="360" w:lineRule="auto"/>
              <w:jc w:val="center"/>
              <w:rPr>
                <w:rFonts w:hint="eastAsia"/>
                <w:color w:val="auto"/>
                <w:sz w:val="28"/>
                <w:szCs w:val="28"/>
                <w:lang w:eastAsia="zh-CN"/>
              </w:rPr>
            </w:pPr>
            <w:r>
              <w:rPr>
                <w:rFonts w:hint="eastAsia"/>
                <w:b/>
                <w:bCs/>
                <w:color w:val="auto"/>
                <w:spacing w:val="-5"/>
                <w:sz w:val="28"/>
                <w:szCs w:val="28"/>
                <w:lang w:eastAsia="zh-CN"/>
              </w:rPr>
              <w:t>项目阶段</w:t>
            </w:r>
          </w:p>
        </w:tc>
        <w:tc>
          <w:tcPr>
            <w:tcW w:w="7788" w:type="dxa"/>
          </w:tcPr>
          <w:p w14:paraId="61C72E7E">
            <w:pPr>
              <w:pStyle w:val="53"/>
              <w:spacing w:line="360" w:lineRule="auto"/>
              <w:jc w:val="center"/>
              <w:rPr>
                <w:rFonts w:hint="eastAsia"/>
                <w:color w:val="auto"/>
                <w:sz w:val="28"/>
                <w:szCs w:val="28"/>
              </w:rPr>
            </w:pPr>
            <w:r>
              <w:rPr>
                <w:rFonts w:hint="eastAsia"/>
                <w:b/>
                <w:bCs/>
                <w:color w:val="auto"/>
                <w:spacing w:val="-4"/>
                <w:sz w:val="28"/>
                <w:szCs w:val="28"/>
                <w:lang w:eastAsia="zh-CN"/>
              </w:rPr>
              <w:t>服务名称及工作</w:t>
            </w:r>
            <w:r>
              <w:rPr>
                <w:b/>
                <w:bCs/>
                <w:color w:val="auto"/>
                <w:spacing w:val="-4"/>
                <w:sz w:val="28"/>
                <w:szCs w:val="28"/>
              </w:rPr>
              <w:t>内容</w:t>
            </w:r>
          </w:p>
        </w:tc>
        <w:tc>
          <w:tcPr>
            <w:tcW w:w="882" w:type="dxa"/>
          </w:tcPr>
          <w:p w14:paraId="314F8326">
            <w:pPr>
              <w:pStyle w:val="53"/>
              <w:spacing w:line="360" w:lineRule="auto"/>
              <w:jc w:val="center"/>
              <w:rPr>
                <w:rFonts w:hint="eastAsia"/>
                <w:color w:val="auto"/>
                <w:sz w:val="28"/>
                <w:szCs w:val="28"/>
              </w:rPr>
            </w:pPr>
            <w:r>
              <w:rPr>
                <w:b/>
                <w:bCs/>
                <w:color w:val="auto"/>
                <w:spacing w:val="-5"/>
                <w:sz w:val="28"/>
                <w:szCs w:val="28"/>
              </w:rPr>
              <w:t>备注</w:t>
            </w:r>
          </w:p>
        </w:tc>
      </w:tr>
      <w:tr w14:paraId="30C09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65" w:type="dxa"/>
            <w:vAlign w:val="center"/>
          </w:tcPr>
          <w:p w14:paraId="41A96358">
            <w:pPr>
              <w:spacing w:line="360" w:lineRule="auto"/>
              <w:jc w:val="center"/>
              <w:rPr>
                <w:rFonts w:hint="eastAsia" w:ascii="宋体" w:hAnsi="宋体" w:cstheme="minorEastAsia"/>
                <w:b/>
                <w:bCs/>
                <w:sz w:val="24"/>
                <w:szCs w:val="24"/>
              </w:rPr>
            </w:pPr>
            <w:r>
              <w:rPr>
                <w:rFonts w:hint="eastAsia" w:ascii="宋体" w:hAnsi="宋体" w:cstheme="minorEastAsia"/>
                <w:b/>
                <w:bCs/>
                <w:sz w:val="24"/>
                <w:szCs w:val="24"/>
              </w:rPr>
              <w:t>全过程工程咨询服务策划</w:t>
            </w:r>
          </w:p>
        </w:tc>
        <w:tc>
          <w:tcPr>
            <w:tcW w:w="7788" w:type="dxa"/>
          </w:tcPr>
          <w:p w14:paraId="1A54F6C5">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服务策划：</w:t>
            </w:r>
            <w:r>
              <w:rPr>
                <w:rFonts w:hint="eastAsia" w:cstheme="minorEastAsia"/>
                <w:color w:val="auto"/>
                <w:spacing w:val="1"/>
                <w:sz w:val="24"/>
                <w:szCs w:val="24"/>
                <w:lang w:eastAsia="zh-CN"/>
              </w:rPr>
              <w:t>（1）</w:t>
            </w:r>
            <w:r>
              <w:rPr>
                <w:rFonts w:hint="eastAsia"/>
                <w:color w:val="auto"/>
                <w:sz w:val="24"/>
                <w:szCs w:val="24"/>
                <w:lang w:eastAsia="zh-CN"/>
              </w:rPr>
              <w:t>全过程工程咨询总体策划大纲；（2）专项咨询策划方案；（3）专项咨询实施细则；（4）工作制度体系。</w:t>
            </w:r>
          </w:p>
        </w:tc>
        <w:tc>
          <w:tcPr>
            <w:tcW w:w="882" w:type="dxa"/>
          </w:tcPr>
          <w:p w14:paraId="488BA833">
            <w:pPr>
              <w:spacing w:line="360" w:lineRule="auto"/>
              <w:rPr>
                <w:rFonts w:hint="eastAsia" w:ascii="宋体" w:hAnsi="宋体" w:cstheme="minorEastAsia"/>
                <w:sz w:val="24"/>
                <w:szCs w:val="24"/>
              </w:rPr>
            </w:pPr>
          </w:p>
        </w:tc>
      </w:tr>
      <w:tr w14:paraId="40C5E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1365" w:type="dxa"/>
            <w:vAlign w:val="center"/>
          </w:tcPr>
          <w:p w14:paraId="5595748F">
            <w:pPr>
              <w:spacing w:line="360" w:lineRule="auto"/>
              <w:jc w:val="center"/>
              <w:rPr>
                <w:rFonts w:hint="eastAsia" w:ascii="宋体" w:hAnsi="宋体" w:cstheme="minorEastAsia"/>
                <w:sz w:val="24"/>
                <w:szCs w:val="24"/>
              </w:rPr>
            </w:pPr>
            <w:r>
              <w:rPr>
                <w:rFonts w:hint="eastAsia" w:ascii="宋体" w:hAnsi="宋体" w:cstheme="minorEastAsia"/>
                <w:b/>
                <w:bCs/>
                <w:sz w:val="24"/>
                <w:szCs w:val="24"/>
              </w:rPr>
              <w:t>投资决策阶段</w:t>
            </w:r>
          </w:p>
        </w:tc>
        <w:tc>
          <w:tcPr>
            <w:tcW w:w="7788" w:type="dxa"/>
          </w:tcPr>
          <w:p w14:paraId="220B1739">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1 投资决策综合性咨询</w:t>
            </w:r>
            <w:r>
              <w:rPr>
                <w:rFonts w:hint="eastAsia" w:cstheme="minorEastAsia"/>
                <w:color w:val="auto"/>
                <w:spacing w:val="1"/>
                <w:sz w:val="24"/>
                <w:szCs w:val="24"/>
                <w:lang w:eastAsia="zh-CN"/>
              </w:rPr>
              <w:t>：（1）投资机会研究；（2）项目建议书；（3）可行性研究报告；（4）项目申请报告；（5）资金申请报告；（6）建设项目用地与选址论证；（7）建设项目环境影响评价；（8）社会风险评估；（9）建设项目压覆重要矿产资源评估；（10）防洪影响评价；（11）生产建设项目水土保持方案；（12）水资源论证；（13）建设工程文物保护。</w:t>
            </w:r>
          </w:p>
          <w:p w14:paraId="1E869776">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2 报批报建：</w:t>
            </w:r>
            <w:r>
              <w:rPr>
                <w:rFonts w:hint="eastAsia" w:cstheme="minorEastAsia"/>
                <w:color w:val="auto"/>
                <w:spacing w:val="1"/>
                <w:sz w:val="24"/>
                <w:szCs w:val="24"/>
                <w:lang w:eastAsia="zh-CN"/>
              </w:rPr>
              <w:t>（1）项目报批报建策划；（2）协助办理项目建议书、可行性研究报告等审查审批；（3）协助办理建设项目选址意见书、用地手续、社会风险评估、节能评估报告等审查审批；（4）协助办理建设项目核准备案、规划条件核实、建设工程设计方案审查等手续。</w:t>
            </w:r>
          </w:p>
          <w:p w14:paraId="2C6D54B9">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3 设计管理</w:t>
            </w:r>
            <w:r>
              <w:rPr>
                <w:rFonts w:hint="eastAsia" w:cstheme="minorEastAsia"/>
                <w:color w:val="auto"/>
                <w:spacing w:val="1"/>
                <w:sz w:val="24"/>
                <w:szCs w:val="24"/>
                <w:lang w:eastAsia="zh-CN"/>
              </w:rPr>
              <w:t>：（1）需求调查；（2）组织编制设计任务书；</w:t>
            </w:r>
            <w:r>
              <w:rPr>
                <w:rFonts w:hint="eastAsia"/>
                <w:color w:val="auto"/>
                <w:spacing w:val="1"/>
                <w:sz w:val="24"/>
                <w:szCs w:val="24"/>
                <w:lang w:eastAsia="zh-CN"/>
              </w:rPr>
              <w:t>（3）协助完成项目设计任务的委托；</w:t>
            </w:r>
            <w:r>
              <w:rPr>
                <w:rFonts w:hint="eastAsia" w:cstheme="minorEastAsia"/>
                <w:color w:val="auto"/>
                <w:spacing w:val="1"/>
                <w:sz w:val="24"/>
                <w:szCs w:val="24"/>
                <w:lang w:eastAsia="zh-CN"/>
              </w:rPr>
              <w:t>（4）组织方案设计工作及设计进度管理；（5）组织设计方案评审工作。</w:t>
            </w:r>
          </w:p>
          <w:p w14:paraId="1BC8CB1D">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4 造价咨询</w:t>
            </w:r>
            <w:r>
              <w:rPr>
                <w:rFonts w:hint="eastAsia" w:cstheme="minorEastAsia"/>
                <w:color w:val="auto"/>
                <w:spacing w:val="1"/>
                <w:sz w:val="24"/>
                <w:szCs w:val="24"/>
                <w:lang w:eastAsia="zh-CN"/>
              </w:rPr>
              <w:t>：（1）分析项目投资风险，提出管控措施；（2）投资估算编制与审核。</w:t>
            </w:r>
          </w:p>
          <w:p w14:paraId="7B9E42FB">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5 专项咨询：</w:t>
            </w:r>
            <w:r>
              <w:rPr>
                <w:rFonts w:hint="eastAsia" w:cstheme="minorEastAsia"/>
                <w:color w:val="auto"/>
                <w:spacing w:val="1"/>
                <w:sz w:val="24"/>
                <w:szCs w:val="24"/>
                <w:lang w:eastAsia="zh-CN"/>
              </w:rPr>
              <w:t>（1）项目融资咨询；（2）建筑节能与绿色建筑咨询；（3）工程保险咨询等。</w:t>
            </w:r>
          </w:p>
          <w:p w14:paraId="7958024A">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6 信息技术咨询</w:t>
            </w:r>
            <w:r>
              <w:rPr>
                <w:rFonts w:hint="eastAsia" w:cstheme="minorEastAsia"/>
                <w:color w:val="auto"/>
                <w:spacing w:val="1"/>
                <w:sz w:val="24"/>
                <w:szCs w:val="24"/>
                <w:lang w:eastAsia="zh-CN"/>
              </w:rPr>
              <w:t>：（1）项目信息技术应用策划方案编制；（2）构建BIM模型辅助进行场址优选、技术经济及建设条件分析。</w:t>
            </w:r>
          </w:p>
        </w:tc>
        <w:tc>
          <w:tcPr>
            <w:tcW w:w="882" w:type="dxa"/>
          </w:tcPr>
          <w:p w14:paraId="405CBCDB">
            <w:pPr>
              <w:spacing w:line="360" w:lineRule="auto"/>
              <w:rPr>
                <w:rFonts w:hint="eastAsia" w:ascii="宋体" w:hAnsi="宋体" w:cstheme="minorEastAsia"/>
                <w:sz w:val="24"/>
                <w:szCs w:val="24"/>
              </w:rPr>
            </w:pPr>
          </w:p>
        </w:tc>
      </w:tr>
      <w:tr w14:paraId="77BF1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7" w:hRule="atLeast"/>
          <w:jc w:val="center"/>
        </w:trPr>
        <w:tc>
          <w:tcPr>
            <w:tcW w:w="1365" w:type="dxa"/>
            <w:vAlign w:val="center"/>
          </w:tcPr>
          <w:p w14:paraId="043B268B">
            <w:pPr>
              <w:spacing w:line="360" w:lineRule="auto"/>
              <w:jc w:val="center"/>
              <w:rPr>
                <w:rFonts w:hint="eastAsia" w:ascii="宋体" w:hAnsi="宋体" w:cstheme="minorEastAsia"/>
                <w:b/>
                <w:bCs/>
                <w:sz w:val="24"/>
                <w:szCs w:val="24"/>
              </w:rPr>
            </w:pPr>
            <w:r>
              <w:rPr>
                <w:rFonts w:hint="eastAsia" w:ascii="宋体" w:hAnsi="宋体" w:cstheme="minorEastAsia"/>
                <w:b/>
                <w:bCs/>
                <w:sz w:val="24"/>
                <w:szCs w:val="24"/>
              </w:rPr>
              <w:t>前期准备阶段</w:t>
            </w:r>
          </w:p>
          <w:p w14:paraId="6C42542C">
            <w:pPr>
              <w:spacing w:line="360" w:lineRule="auto"/>
              <w:rPr>
                <w:rFonts w:hint="eastAsia" w:ascii="宋体" w:hAnsi="宋体" w:cstheme="minorEastAsia"/>
                <w:sz w:val="24"/>
                <w:szCs w:val="24"/>
              </w:rPr>
            </w:pPr>
          </w:p>
          <w:p w14:paraId="47A4063C">
            <w:pPr>
              <w:spacing w:line="360" w:lineRule="auto"/>
              <w:rPr>
                <w:rFonts w:hint="eastAsia" w:ascii="宋体" w:hAnsi="宋体" w:cstheme="minorEastAsia"/>
                <w:sz w:val="24"/>
                <w:szCs w:val="24"/>
              </w:rPr>
            </w:pPr>
          </w:p>
          <w:p w14:paraId="7A8FF526">
            <w:pPr>
              <w:spacing w:line="360" w:lineRule="auto"/>
              <w:rPr>
                <w:rFonts w:hint="eastAsia" w:ascii="宋体" w:hAnsi="宋体" w:cstheme="minorEastAsia"/>
                <w:sz w:val="24"/>
                <w:szCs w:val="24"/>
              </w:rPr>
            </w:pPr>
          </w:p>
          <w:p w14:paraId="7FBCAC56">
            <w:pPr>
              <w:spacing w:line="360" w:lineRule="auto"/>
              <w:rPr>
                <w:rFonts w:hint="eastAsia" w:ascii="宋体" w:hAnsi="宋体" w:cstheme="minorEastAsia"/>
                <w:sz w:val="24"/>
                <w:szCs w:val="24"/>
              </w:rPr>
            </w:pPr>
          </w:p>
          <w:p w14:paraId="042C5110">
            <w:pPr>
              <w:spacing w:line="360" w:lineRule="auto"/>
              <w:rPr>
                <w:rFonts w:hint="eastAsia" w:ascii="宋体" w:hAnsi="宋体" w:cstheme="minorEastAsia"/>
                <w:sz w:val="24"/>
                <w:szCs w:val="24"/>
              </w:rPr>
            </w:pPr>
          </w:p>
          <w:p w14:paraId="332E82FE">
            <w:pPr>
              <w:spacing w:line="360" w:lineRule="auto"/>
              <w:rPr>
                <w:rFonts w:hint="eastAsia" w:ascii="宋体" w:hAnsi="宋体" w:cstheme="minorEastAsia"/>
                <w:sz w:val="24"/>
                <w:szCs w:val="24"/>
              </w:rPr>
            </w:pPr>
          </w:p>
          <w:p w14:paraId="1A641C3F">
            <w:pPr>
              <w:spacing w:line="360" w:lineRule="auto"/>
              <w:rPr>
                <w:rFonts w:hint="eastAsia" w:ascii="宋体" w:hAnsi="宋体" w:cstheme="minorEastAsia"/>
                <w:sz w:val="24"/>
                <w:szCs w:val="24"/>
              </w:rPr>
            </w:pPr>
          </w:p>
        </w:tc>
        <w:tc>
          <w:tcPr>
            <w:tcW w:w="7788" w:type="dxa"/>
          </w:tcPr>
          <w:p w14:paraId="0D9C6BCA">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1 报批报建：</w:t>
            </w:r>
            <w:r>
              <w:rPr>
                <w:rFonts w:hint="eastAsia" w:cstheme="minorEastAsia"/>
                <w:color w:val="auto"/>
                <w:spacing w:val="1"/>
                <w:sz w:val="24"/>
                <w:szCs w:val="24"/>
                <w:lang w:eastAsia="zh-CN"/>
              </w:rPr>
              <w:t>（1）协助办理建设项目初步设计及设计概算审查；（2）协助办理项目建设配套手续审查，包括交通和防洪影响评价报告、地震安全性评价、人防、超限报告、水土保持方案等审查；（3）协助办理建设用地规划许可证；（4）协助办理建设工程规划许可证；（5）协助办理建设工程施工许可证。</w:t>
            </w:r>
          </w:p>
          <w:p w14:paraId="44DFE220">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2 勘察设计管理：</w:t>
            </w:r>
            <w:r>
              <w:rPr>
                <w:rFonts w:hint="eastAsia" w:cstheme="minorEastAsia"/>
                <w:color w:val="auto"/>
                <w:spacing w:val="1"/>
                <w:sz w:val="24"/>
                <w:szCs w:val="24"/>
                <w:lang w:eastAsia="zh-CN"/>
              </w:rPr>
              <w:t>（1）组织编制勘察要求（勘察任务书）；（2）组织工程各阶段勘察工作及进度管理；（3）组织各阶段勘察成果审查；（4）组织初步设计工作及进度管理；（5）组织初步设计评审；（6）组织施工图设计工作及进度管理；（7）组织施工图审查；（8）组织各专项设计工作及进度管理、评审工作。</w:t>
            </w:r>
          </w:p>
          <w:p w14:paraId="5BF2B2E0">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3 造价咨询</w:t>
            </w:r>
            <w:r>
              <w:rPr>
                <w:rFonts w:hint="eastAsia" w:cstheme="minorEastAsia"/>
                <w:color w:val="auto"/>
                <w:spacing w:val="1"/>
                <w:sz w:val="24"/>
                <w:szCs w:val="24"/>
                <w:lang w:eastAsia="zh-CN"/>
              </w:rPr>
              <w:t>：（1）为设计方案比选（如基础选型、结构选型、设备选型等）提供造价对比分析；（2）设计概算的编制或审核；（3）确定项目限额设计指标；（4）对设计文件进行造价测算与经济优化建议；（5）施工图预算的编制或审核；（6）编制项目资金使用计划；（7）工程量清单的编制或审核；（8）招标控制价的编制或审核；（9）参与招标文件答疑和澄清；（10）清标或核标；（11）拟定合同文本，协助合同谈判。</w:t>
            </w:r>
          </w:p>
          <w:p w14:paraId="08C51FA2">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4 招标采购</w:t>
            </w:r>
            <w:r>
              <w:rPr>
                <w:rFonts w:hint="eastAsia" w:cstheme="minorEastAsia"/>
                <w:color w:val="auto"/>
                <w:spacing w:val="1"/>
                <w:sz w:val="24"/>
                <w:szCs w:val="24"/>
                <w:lang w:eastAsia="zh-CN"/>
              </w:rPr>
              <w:t>：（1）招标采购策划，包括制定项目合约规划、明确工作界面、制定招标计划、选择合理的招标采购模式及合同模式等工作；（2）编制招标文件，含工程量清单、招标控制价、合同条款等；（3）招标工作实施：发布招标公告或资格预审公告，组织招标文件答疑和澄清，组织开标、评标工作，编制评标报告报委托人确认，协助签发中标通知书，协助合同签订等。</w:t>
            </w:r>
          </w:p>
          <w:p w14:paraId="0D5B3EAE">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5 项目管理</w:t>
            </w:r>
            <w:r>
              <w:rPr>
                <w:rFonts w:hint="eastAsia" w:cstheme="minorEastAsia"/>
                <w:color w:val="auto"/>
                <w:spacing w:val="1"/>
                <w:sz w:val="24"/>
                <w:szCs w:val="24"/>
                <w:lang w:eastAsia="zh-CN"/>
              </w:rPr>
              <w:t>：</w:t>
            </w:r>
          </w:p>
          <w:p w14:paraId="00804EDD">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（1）施工前计划管理工作：①制定施工阶段的工程管理制度和工作计划；②编制场地使用计划；③审核施工单位提交的施工总进度计划；④审核造价咨询机构制定的施工阶段资金使用计划。</w:t>
            </w:r>
          </w:p>
          <w:p w14:paraId="555E29DC">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2）开工准备工作：①编制项目施工管理工作策划；②组织设计交底；③组织安全管理及制度交底；④审核施工组织设计；⑤审核并报委托人批准监理规划；⑥检查监理单位的组织准备情况；⑦核查现场施工机械、材料的准备情况；⑧核查现场人员的准备情况及质量和安全保证体系；⑨落实施工现场条件；⑩督促项目监理机构核签开工报告；</w:t>
            </w:r>
            <w:r>
              <w:rPr>
                <w:rFonts w:ascii="Cambria Math" w:hAnsi="Cambria Math" w:cs="Cambria Math"/>
                <w:color w:val="auto"/>
                <w:spacing w:val="1"/>
                <w:sz w:val="24"/>
                <w:szCs w:val="24"/>
                <w:lang w:eastAsia="zh-CN"/>
              </w:rPr>
              <w:t>⑪</w:t>
            </w:r>
            <w:r>
              <w:rPr>
                <w:rFonts w:hint="eastAsia"/>
                <w:color w:val="auto"/>
                <w:spacing w:val="1"/>
                <w:sz w:val="24"/>
                <w:szCs w:val="24"/>
                <w:lang w:eastAsia="zh-CN"/>
              </w:rPr>
              <w:t>督促工程监理单位组织召开第一次工地会议。</w:t>
            </w:r>
          </w:p>
          <w:p w14:paraId="1878B1E5">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6 其他专项咨询：</w:t>
            </w:r>
            <w:r>
              <w:rPr>
                <w:rFonts w:hint="eastAsia" w:cstheme="minorEastAsia"/>
                <w:color w:val="auto"/>
                <w:spacing w:val="1"/>
                <w:sz w:val="24"/>
                <w:szCs w:val="24"/>
                <w:lang w:eastAsia="zh-CN"/>
              </w:rPr>
              <w:t>（1）项目融资咨询；（2）建筑节能与绿色建筑咨询；（3）工程保险咨询。</w:t>
            </w:r>
          </w:p>
          <w:p w14:paraId="694D5C61">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7 信息技术咨询</w:t>
            </w:r>
            <w:r>
              <w:rPr>
                <w:rFonts w:hint="eastAsia" w:cstheme="minorEastAsia"/>
                <w:color w:val="auto"/>
                <w:spacing w:val="1"/>
                <w:sz w:val="24"/>
                <w:szCs w:val="24"/>
                <w:lang w:eastAsia="zh-CN"/>
              </w:rPr>
              <w:t>：（1）维护 BIM模型；（2）采用 BIM 等技术辅助投资控制；（4）采用BIM辅助设计方案比选、建筑性能模拟分析、交通仿真优化、管线碰撞检测、虚拟仿真漫游、工程算量计价等。</w:t>
            </w:r>
          </w:p>
        </w:tc>
        <w:tc>
          <w:tcPr>
            <w:tcW w:w="882" w:type="dxa"/>
          </w:tcPr>
          <w:p w14:paraId="57DDEC4C">
            <w:pPr>
              <w:spacing w:line="360" w:lineRule="auto"/>
              <w:rPr>
                <w:rFonts w:hint="eastAsia" w:ascii="宋体" w:hAnsi="宋体" w:cstheme="minorEastAsia"/>
                <w:sz w:val="24"/>
                <w:szCs w:val="24"/>
              </w:rPr>
            </w:pPr>
          </w:p>
        </w:tc>
      </w:tr>
      <w:tr w14:paraId="1D2DE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0" w:hRule="atLeast"/>
          <w:jc w:val="center"/>
        </w:trPr>
        <w:tc>
          <w:tcPr>
            <w:tcW w:w="1365" w:type="dxa"/>
            <w:vAlign w:val="center"/>
          </w:tcPr>
          <w:p w14:paraId="780F38EF">
            <w:pPr>
              <w:spacing w:line="360" w:lineRule="auto"/>
              <w:jc w:val="center"/>
              <w:rPr>
                <w:rFonts w:hint="eastAsia" w:ascii="宋体" w:hAnsi="宋体" w:cstheme="minorEastAsia"/>
                <w:sz w:val="24"/>
                <w:szCs w:val="24"/>
              </w:rPr>
            </w:pPr>
            <w:r>
              <w:rPr>
                <w:rFonts w:hint="eastAsia" w:ascii="宋体" w:hAnsi="宋体" w:cstheme="minorEastAsia"/>
                <w:b/>
                <w:bCs/>
                <w:sz w:val="24"/>
                <w:szCs w:val="24"/>
              </w:rPr>
              <w:t>工程施工阶段</w:t>
            </w:r>
          </w:p>
        </w:tc>
        <w:tc>
          <w:tcPr>
            <w:tcW w:w="7788" w:type="dxa"/>
          </w:tcPr>
          <w:p w14:paraId="7B081624">
            <w:pPr>
              <w:pStyle w:val="53"/>
              <w:spacing w:line="360" w:lineRule="auto"/>
              <w:ind w:firstLine="486" w:firstLineChars="200"/>
              <w:rPr>
                <w:rFonts w:hint="eastAsia" w:cstheme="minorEastAsia"/>
                <w:b/>
                <w:bCs/>
                <w:color w:val="auto"/>
                <w:spacing w:val="1"/>
                <w:sz w:val="24"/>
                <w:szCs w:val="24"/>
                <w:lang w:eastAsia="zh-CN"/>
              </w:rPr>
            </w:pPr>
            <w:r>
              <w:rPr>
                <w:rFonts w:hint="eastAsia" w:cstheme="minorEastAsia"/>
                <w:b/>
                <w:bCs/>
                <w:color w:val="auto"/>
                <w:spacing w:val="1"/>
                <w:sz w:val="24"/>
                <w:szCs w:val="24"/>
                <w:lang w:eastAsia="zh-CN"/>
              </w:rPr>
              <w:t>1 报批报建：</w:t>
            </w:r>
            <w:r>
              <w:rPr>
                <w:rFonts w:hint="eastAsia" w:cstheme="minorEastAsia"/>
                <w:color w:val="auto"/>
                <w:spacing w:val="1"/>
                <w:sz w:val="24"/>
                <w:szCs w:val="24"/>
                <w:lang w:eastAsia="zh-CN"/>
              </w:rPr>
              <w:t>（1）协助申报临时用电、正式用电、临时用水、正式用水、热力燃气、通信、排污、雨水等各项市政接入手续；（2）如有必要协助办理预售许可证；（3）协助施工中各项验收工作。</w:t>
            </w:r>
          </w:p>
          <w:p w14:paraId="004663E2">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2 勘察设计管理：</w:t>
            </w:r>
            <w:r>
              <w:rPr>
                <w:rFonts w:hint="eastAsia" w:cstheme="minorEastAsia"/>
                <w:color w:val="auto"/>
                <w:spacing w:val="1"/>
                <w:sz w:val="24"/>
                <w:szCs w:val="24"/>
                <w:lang w:eastAsia="zh-CN"/>
              </w:rPr>
              <w:t>（1）组织勘察、设计人员为施工现场提供技术服务；（2）组织勘察、设计交底，组织图纸会审；（3）进行施工现场的技术协调和管理；（4）进行工程材料设备选型和技术管理；（5）审核、处理设计变更、工程洽商、签证的技术问题；（6）根据施工需求组织或实施设计优化工作；（7）组织勘察单位、设计单位参与重要分部工程、单位工程验收。</w:t>
            </w:r>
          </w:p>
          <w:p w14:paraId="277291DF">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3 造价咨询</w:t>
            </w:r>
            <w:r>
              <w:rPr>
                <w:rFonts w:hint="eastAsia" w:cstheme="minorEastAsia"/>
                <w:color w:val="auto"/>
                <w:spacing w:val="1"/>
                <w:sz w:val="24"/>
                <w:szCs w:val="24"/>
                <w:lang w:eastAsia="zh-CN"/>
              </w:rPr>
              <w:t>：（1）合同价款咨询，包括合同分析、合同交底、合同变更意见建议；（2）材料、设备的询价，提供核价建议；（3）施工阶段投资风险分析及建议；（4）计算及审核工程预付款和进度款；（5）参与工程变更、签证及索赔并提出咨询意见；（6）按一定周期进行项目动态造价分析；（7）审核及汇总分阶段工程结算。</w:t>
            </w:r>
          </w:p>
          <w:p w14:paraId="7152D766">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4 工程监理</w:t>
            </w:r>
            <w:r>
              <w:rPr>
                <w:rFonts w:hint="eastAsia" w:cstheme="minorEastAsia"/>
                <w:color w:val="auto"/>
                <w:spacing w:val="1"/>
                <w:sz w:val="24"/>
                <w:szCs w:val="24"/>
                <w:lang w:eastAsia="zh-CN"/>
              </w:rPr>
              <w:t>：（1）编制项目监理规划和实施细则；（2）质量控制；（3）造价控制；（4）进度控制；（5）安全生产与文明施工控制；（6）监理文件资料管理；（7）设备采购与设备监造（若有）。</w:t>
            </w:r>
          </w:p>
          <w:p w14:paraId="121E65E9">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5 项目管理</w:t>
            </w:r>
            <w:r>
              <w:rPr>
                <w:rFonts w:hint="eastAsia" w:cstheme="minorEastAsia"/>
                <w:color w:val="auto"/>
                <w:spacing w:val="1"/>
                <w:sz w:val="24"/>
                <w:szCs w:val="24"/>
                <w:lang w:eastAsia="zh-CN"/>
              </w:rPr>
              <w:t>：</w:t>
            </w:r>
          </w:p>
          <w:p w14:paraId="333846E1">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（1）进度管理：①建立健全项目进度控制体系，②编制项目总控进度计划，③审核并跟踪施工总进度计划及各专项计划的执行情况， ④定期编制进度分析报告，⑤协调各参建单位的施工进度矛盾，⑥审批并处理工程停工、复工及工期变更事项；</w:t>
            </w:r>
          </w:p>
          <w:p w14:paraId="1103F82A">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（2）质量管理：①组织编制施工质量管理策划，②建立工程质量控制体系，③施工过程中质量监管，④推动参建各方开展质量创优工作，⑤及时组织处理工程质量问题及事故；</w:t>
            </w:r>
          </w:p>
          <w:p w14:paraId="60540F3D">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3）安全文明管理：①组织编制施工安全文明管理策划，②建立工程安全文明生产管理体系，③施工过程中现场安全文明管理，④组织参建各方开展安全文明工地创优工作，⑤及时组织处理工程安全问题及事故；</w:t>
            </w:r>
          </w:p>
          <w:p w14:paraId="13D988E8">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（4）组织施工阶段甲供材料、设备采购等工作。</w:t>
            </w:r>
          </w:p>
          <w:p w14:paraId="1B65D56B">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（5）投资管理：①组织编制并动态调整资金使用计划，②审核、处理工程变更和签证的造价事项，③审核工程款支付申请， ④审核施工过程中费用索赔，⑤组织开展工程结算工作；</w:t>
            </w:r>
          </w:p>
          <w:p w14:paraId="2CB938FF">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 xml:space="preserve">（6）合同管理：①优化合同框架与界面，②参与合同谈判和签订，③建立合同管理台账，④督促各方履约，⑤处理合同变更，争议与索赔事项，⑥合同风险管理；       </w:t>
            </w:r>
          </w:p>
          <w:p w14:paraId="58CC6148">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w:t>
            </w:r>
            <w:r>
              <w:rPr>
                <w:rFonts w:cstheme="minorEastAsia"/>
                <w:color w:val="auto"/>
                <w:spacing w:val="1"/>
                <w:sz w:val="24"/>
                <w:szCs w:val="24"/>
                <w:lang w:eastAsia="zh-CN"/>
              </w:rPr>
              <w:t>7</w:t>
            </w:r>
            <w:r>
              <w:rPr>
                <w:rFonts w:hint="eastAsia" w:cstheme="minorEastAsia"/>
                <w:color w:val="auto"/>
                <w:spacing w:val="1"/>
                <w:sz w:val="24"/>
                <w:szCs w:val="24"/>
                <w:lang w:eastAsia="zh-CN"/>
              </w:rPr>
              <w:t>）技术管理：①规范施工图纸和技术文件的管理，②组织重大技术方案等的专家评审/论证会，③组织确认材料、设备选型和品牌及技术参数，④组织确认工程样品与施工样板，⑤组织编写专业分包施工界面和管理要求；</w:t>
            </w:r>
          </w:p>
          <w:p w14:paraId="33BCEE69">
            <w:pPr>
              <w:pStyle w:val="53"/>
              <w:spacing w:line="360" w:lineRule="auto"/>
              <w:ind w:firstLine="484" w:firstLineChars="200"/>
              <w:rPr>
                <w:rFonts w:hint="eastAsia" w:cstheme="minorEastAsia"/>
                <w:color w:val="auto"/>
                <w:spacing w:val="1"/>
                <w:sz w:val="24"/>
                <w:szCs w:val="24"/>
                <w:lang w:eastAsia="zh-CN"/>
              </w:rPr>
            </w:pPr>
            <w:r>
              <w:rPr>
                <w:rFonts w:hint="eastAsia" w:cstheme="minorEastAsia"/>
                <w:color w:val="auto"/>
                <w:spacing w:val="1"/>
                <w:sz w:val="24"/>
                <w:szCs w:val="24"/>
                <w:lang w:eastAsia="zh-CN"/>
              </w:rPr>
              <w:t>（</w:t>
            </w:r>
            <w:r>
              <w:rPr>
                <w:rFonts w:cstheme="minorEastAsia"/>
                <w:color w:val="auto"/>
                <w:spacing w:val="1"/>
                <w:sz w:val="24"/>
                <w:szCs w:val="24"/>
                <w:lang w:eastAsia="zh-CN"/>
              </w:rPr>
              <w:t>8</w:t>
            </w:r>
            <w:r>
              <w:rPr>
                <w:rFonts w:hint="eastAsia" w:cstheme="minorEastAsia"/>
                <w:color w:val="auto"/>
                <w:spacing w:val="1"/>
                <w:sz w:val="24"/>
                <w:szCs w:val="24"/>
                <w:lang w:eastAsia="zh-CN"/>
              </w:rPr>
              <w:t>）信息管理：①建立项目信息管理体系，②监督检查各参建单位的信息管理工作，③编制各类工程项目报表、报告，④做好各类文件的收集、整理、流转和台账管理，⑤督促各参建单位做好工程资料与档案管理。</w:t>
            </w:r>
          </w:p>
          <w:p w14:paraId="7212F128">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6 信息技术咨询</w:t>
            </w:r>
            <w:r>
              <w:rPr>
                <w:rFonts w:hint="eastAsia" w:cstheme="minorEastAsia"/>
                <w:color w:val="auto"/>
                <w:spacing w:val="1"/>
                <w:sz w:val="24"/>
                <w:szCs w:val="24"/>
                <w:lang w:eastAsia="zh-CN"/>
              </w:rPr>
              <w:t>：（1）采用 BIM 等进行投资、进度、材料、设备等多维信息管理及流程优化；（2）基于 BIM 等的设计优化与变更处理。</w:t>
            </w:r>
          </w:p>
        </w:tc>
        <w:tc>
          <w:tcPr>
            <w:tcW w:w="882" w:type="dxa"/>
          </w:tcPr>
          <w:p w14:paraId="5BBA8284">
            <w:pPr>
              <w:spacing w:line="360" w:lineRule="auto"/>
              <w:rPr>
                <w:rFonts w:hint="eastAsia" w:ascii="宋体" w:hAnsi="宋体" w:cstheme="minorEastAsia"/>
                <w:sz w:val="24"/>
                <w:szCs w:val="24"/>
              </w:rPr>
            </w:pPr>
          </w:p>
        </w:tc>
      </w:tr>
      <w:tr w14:paraId="0304B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4" w:hRule="atLeast"/>
          <w:jc w:val="center"/>
        </w:trPr>
        <w:tc>
          <w:tcPr>
            <w:tcW w:w="1365" w:type="dxa"/>
            <w:vAlign w:val="center"/>
          </w:tcPr>
          <w:p w14:paraId="05E52EEF">
            <w:pPr>
              <w:spacing w:line="360" w:lineRule="auto"/>
              <w:jc w:val="center"/>
              <w:rPr>
                <w:rFonts w:hint="eastAsia" w:ascii="宋体" w:hAnsi="宋体" w:cstheme="minorEastAsia"/>
                <w:sz w:val="24"/>
                <w:szCs w:val="24"/>
              </w:rPr>
            </w:pPr>
            <w:r>
              <w:rPr>
                <w:rFonts w:hint="eastAsia" w:ascii="宋体" w:hAnsi="宋体" w:cstheme="minorEastAsia"/>
                <w:b/>
                <w:bCs/>
                <w:sz w:val="24"/>
                <w:szCs w:val="24"/>
              </w:rPr>
              <w:t>竣工验收阶段</w:t>
            </w:r>
          </w:p>
        </w:tc>
        <w:tc>
          <w:tcPr>
            <w:tcW w:w="7788" w:type="dxa"/>
          </w:tcPr>
          <w:p w14:paraId="44464D55">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1 报批报建：</w:t>
            </w:r>
            <w:r>
              <w:rPr>
                <w:rFonts w:hint="eastAsia" w:cstheme="minorEastAsia"/>
                <w:color w:val="auto"/>
                <w:spacing w:val="1"/>
                <w:sz w:val="24"/>
                <w:szCs w:val="24"/>
                <w:lang w:eastAsia="zh-CN"/>
              </w:rPr>
              <w:t>协助组织建筑工程竣工验收和办理竣工验收备案。</w:t>
            </w:r>
          </w:p>
          <w:p w14:paraId="58118CCB">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2 勘察设计管理：</w:t>
            </w:r>
            <w:r>
              <w:rPr>
                <w:rFonts w:hint="eastAsia" w:cstheme="minorEastAsia"/>
                <w:color w:val="auto"/>
                <w:spacing w:val="1"/>
                <w:sz w:val="24"/>
                <w:szCs w:val="24"/>
                <w:lang w:eastAsia="zh-CN"/>
              </w:rPr>
              <w:t>（1）配合组织项目竣工验收；（2）对勘察文件、设计文件进行整理和归档；（3）组织实施项目设计工作总结。</w:t>
            </w:r>
          </w:p>
          <w:p w14:paraId="34533C8F">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3 造价咨询</w:t>
            </w:r>
            <w:r>
              <w:rPr>
                <w:rFonts w:hint="eastAsia" w:cstheme="minorEastAsia"/>
                <w:color w:val="auto"/>
                <w:spacing w:val="1"/>
                <w:sz w:val="24"/>
                <w:szCs w:val="24"/>
                <w:lang w:eastAsia="zh-CN"/>
              </w:rPr>
              <w:t>：（1）竣工结算审核；（2）工程技术经济指标分析；           （3）竣工决算报告的编制或审核；（4）配合完成竣工结算的政府审计，根据审计结果对工程的最终结算价款进行审定；（</w:t>
            </w:r>
            <w:r>
              <w:rPr>
                <w:rFonts w:cstheme="minorEastAsia"/>
                <w:color w:val="auto"/>
                <w:spacing w:val="1"/>
                <w:sz w:val="24"/>
                <w:szCs w:val="24"/>
                <w:lang w:eastAsia="zh-CN"/>
              </w:rPr>
              <w:t>5</w:t>
            </w:r>
            <w:r>
              <w:rPr>
                <w:rFonts w:hint="eastAsia" w:cstheme="minorEastAsia"/>
                <w:color w:val="auto"/>
                <w:spacing w:val="1"/>
                <w:sz w:val="24"/>
                <w:szCs w:val="24"/>
                <w:lang w:eastAsia="zh-CN"/>
              </w:rPr>
              <w:t>）编制项目绩效评价报告。</w:t>
            </w:r>
          </w:p>
          <w:p w14:paraId="78471A9B">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4 工程监理</w:t>
            </w:r>
            <w:r>
              <w:rPr>
                <w:rFonts w:hint="eastAsia" w:cstheme="minorEastAsia"/>
                <w:color w:val="auto"/>
                <w:spacing w:val="1"/>
                <w:sz w:val="24"/>
                <w:szCs w:val="24"/>
                <w:lang w:eastAsia="zh-CN"/>
              </w:rPr>
              <w:t>：（1）工程验收策划与组织；（2）组织竣工预验收，参与竣工验收；（3）竣工资料收集与整理；（4）工程质量缺陷管理。</w:t>
            </w:r>
          </w:p>
          <w:p w14:paraId="5AD49249">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5 项目管理</w:t>
            </w:r>
            <w:r>
              <w:rPr>
                <w:rFonts w:hint="eastAsia" w:cstheme="minorEastAsia"/>
                <w:color w:val="auto"/>
                <w:spacing w:val="1"/>
                <w:sz w:val="24"/>
                <w:szCs w:val="24"/>
                <w:lang w:eastAsia="zh-CN"/>
              </w:rPr>
              <w:t>：（1）协助委托方完成验收方案策划，并协助委托方组织竣工验收；（2）组织施工单位与运营或物业单位制定完善的移交方案，并协助委托方组织实体移交；（3）组织审核施工单位提交的竣工结算申请，协助委托方编制工程竣工决算；（4）编制项目后评价报告；（5）保修阶段管理：①组织制定保修管理方案，②组织项目保修管理会议，③过程协调与定期回访。</w:t>
            </w:r>
          </w:p>
          <w:p w14:paraId="27FCDC9A">
            <w:pPr>
              <w:pStyle w:val="53"/>
              <w:spacing w:line="360" w:lineRule="auto"/>
              <w:ind w:firstLine="486" w:firstLineChars="200"/>
              <w:rPr>
                <w:rFonts w:hint="eastAsia" w:cstheme="minorEastAsia"/>
                <w:color w:val="auto"/>
                <w:spacing w:val="1"/>
                <w:sz w:val="24"/>
                <w:szCs w:val="24"/>
                <w:lang w:eastAsia="zh-CN"/>
              </w:rPr>
            </w:pPr>
            <w:r>
              <w:rPr>
                <w:rFonts w:hint="eastAsia" w:cstheme="minorEastAsia"/>
                <w:b/>
                <w:bCs/>
                <w:color w:val="auto"/>
                <w:spacing w:val="1"/>
                <w:sz w:val="24"/>
                <w:szCs w:val="24"/>
                <w:lang w:eastAsia="zh-CN"/>
              </w:rPr>
              <w:t>6 信息技术咨询</w:t>
            </w:r>
            <w:r>
              <w:rPr>
                <w:rFonts w:hint="eastAsia" w:cstheme="minorEastAsia"/>
                <w:color w:val="auto"/>
                <w:spacing w:val="1"/>
                <w:sz w:val="24"/>
                <w:szCs w:val="24"/>
                <w:lang w:eastAsia="zh-CN"/>
              </w:rPr>
              <w:t>：（1）完成工程竣工BIM模型；（2）采用 BIM 辅助竣工项目投资控制与审核。</w:t>
            </w:r>
          </w:p>
        </w:tc>
        <w:tc>
          <w:tcPr>
            <w:tcW w:w="882" w:type="dxa"/>
          </w:tcPr>
          <w:p w14:paraId="2AA7D0DF">
            <w:pPr>
              <w:spacing w:line="360" w:lineRule="auto"/>
              <w:rPr>
                <w:rFonts w:hint="eastAsia" w:ascii="宋体" w:hAnsi="宋体" w:cstheme="minorEastAsia"/>
                <w:sz w:val="24"/>
                <w:szCs w:val="24"/>
              </w:rPr>
            </w:pPr>
          </w:p>
        </w:tc>
      </w:tr>
    </w:tbl>
    <w:p w14:paraId="052CF141">
      <w:pPr>
        <w:widowControl/>
        <w:spacing w:line="360" w:lineRule="auto"/>
        <w:jc w:val="left"/>
        <w:rPr>
          <w:rFonts w:hint="eastAsia" w:ascii="宋体" w:hAnsi="宋体" w:cs="宋体"/>
        </w:rPr>
      </w:pPr>
      <w:r>
        <w:rPr>
          <w:rFonts w:hint="eastAsia"/>
        </w:rPr>
        <w:br w:type="page"/>
      </w:r>
    </w:p>
    <w:p w14:paraId="52FA7A64">
      <w:pPr>
        <w:adjustRightInd w:val="0"/>
        <w:snapToGrid w:val="0"/>
        <w:spacing w:line="360" w:lineRule="auto"/>
        <w:jc w:val="center"/>
        <w:rPr>
          <w:b/>
          <w:bCs/>
          <w:sz w:val="28"/>
          <w:szCs w:val="32"/>
        </w:rPr>
      </w:pPr>
    </w:p>
    <w:p w14:paraId="2EF4C831">
      <w:pPr>
        <w:adjustRightInd w:val="0"/>
        <w:snapToGrid w:val="0"/>
        <w:spacing w:line="360" w:lineRule="auto"/>
        <w:jc w:val="center"/>
        <w:rPr>
          <w:b/>
          <w:bCs/>
          <w:sz w:val="28"/>
          <w:szCs w:val="32"/>
        </w:rPr>
      </w:pPr>
    </w:p>
    <w:p w14:paraId="3B3BE10C">
      <w:pPr>
        <w:adjustRightInd w:val="0"/>
        <w:snapToGrid w:val="0"/>
        <w:spacing w:line="360" w:lineRule="auto"/>
        <w:jc w:val="center"/>
        <w:rPr>
          <w:b/>
          <w:bCs/>
          <w:sz w:val="28"/>
          <w:szCs w:val="32"/>
        </w:rPr>
      </w:pPr>
    </w:p>
    <w:p w14:paraId="336D5EB7">
      <w:pPr>
        <w:adjustRightInd w:val="0"/>
        <w:snapToGrid w:val="0"/>
        <w:spacing w:line="360" w:lineRule="auto"/>
        <w:jc w:val="center"/>
        <w:rPr>
          <w:b/>
          <w:bCs/>
          <w:sz w:val="28"/>
          <w:szCs w:val="32"/>
        </w:rPr>
      </w:pPr>
    </w:p>
    <w:p w14:paraId="6428D4BE">
      <w:pPr>
        <w:adjustRightInd w:val="0"/>
        <w:snapToGrid w:val="0"/>
        <w:spacing w:line="360" w:lineRule="auto"/>
        <w:jc w:val="center"/>
        <w:outlineLvl w:val="0"/>
        <w:rPr>
          <w:b/>
          <w:bCs/>
          <w:sz w:val="28"/>
          <w:szCs w:val="32"/>
        </w:rPr>
      </w:pPr>
      <w:bookmarkStart w:id="40" w:name="_Toc190875437"/>
      <w:r>
        <w:rPr>
          <w:rFonts w:hint="eastAsia"/>
          <w:b/>
          <w:bCs/>
          <w:sz w:val="28"/>
          <w:szCs w:val="32"/>
        </w:rPr>
        <w:t>条文说明</w:t>
      </w:r>
      <w:bookmarkEnd w:id="40"/>
    </w:p>
    <w:p w14:paraId="66E6DD10">
      <w:pPr>
        <w:widowControl/>
        <w:jc w:val="left"/>
        <w:rPr>
          <w:b/>
          <w:bCs/>
          <w:sz w:val="28"/>
          <w:szCs w:val="32"/>
        </w:rPr>
      </w:pPr>
      <w:r>
        <w:rPr>
          <w:b/>
          <w:bCs/>
          <w:sz w:val="28"/>
          <w:szCs w:val="32"/>
        </w:rPr>
        <w:br w:type="page"/>
      </w:r>
    </w:p>
    <w:p w14:paraId="65A8DA19">
      <w:pPr>
        <w:adjustRightInd w:val="0"/>
        <w:snapToGrid w:val="0"/>
        <w:spacing w:line="360" w:lineRule="auto"/>
        <w:outlineLvl w:val="0"/>
        <w:rPr>
          <w:b/>
          <w:bCs/>
          <w:sz w:val="28"/>
          <w:szCs w:val="32"/>
        </w:rPr>
      </w:pPr>
      <w:bookmarkStart w:id="41" w:name="_Toc190875438"/>
      <w:r>
        <w:rPr>
          <w:b/>
          <w:bCs/>
          <w:sz w:val="28"/>
          <w:szCs w:val="32"/>
        </w:rPr>
        <w:t xml:space="preserve">1 </w:t>
      </w:r>
      <w:r>
        <w:rPr>
          <w:rFonts w:hint="eastAsia"/>
          <w:b/>
          <w:bCs/>
          <w:sz w:val="28"/>
          <w:szCs w:val="32"/>
        </w:rPr>
        <w:t>总则</w:t>
      </w:r>
      <w:bookmarkEnd w:id="41"/>
    </w:p>
    <w:p w14:paraId="0C8AF504">
      <w:pPr>
        <w:pStyle w:val="2"/>
        <w:spacing w:line="360" w:lineRule="auto"/>
        <w:ind w:left="0" w:firstLine="480" w:firstLineChars="200"/>
        <w:rPr>
          <w:rFonts w:hint="eastAsia"/>
        </w:rPr>
      </w:pPr>
      <w:r>
        <w:rPr>
          <w:sz w:val="24"/>
          <w:szCs w:val="24"/>
        </w:rPr>
        <w:t>1.0.</w:t>
      </w:r>
      <w:r>
        <w:rPr>
          <w:rFonts w:hint="eastAsia"/>
          <w:sz w:val="24"/>
          <w:szCs w:val="24"/>
          <w:lang w:val="en-US"/>
        </w:rPr>
        <w:t>2</w:t>
      </w:r>
      <w:r>
        <w:rPr>
          <w:sz w:val="24"/>
          <w:szCs w:val="24"/>
        </w:rPr>
        <w:t xml:space="preserve"> </w:t>
      </w:r>
      <w:r>
        <w:rPr>
          <w:rFonts w:hint="eastAsia"/>
          <w:sz w:val="24"/>
          <w:szCs w:val="24"/>
        </w:rPr>
        <w:t>本标准对企业类型不做强制性限制，旨在促进全过程工程咨询服务在更广领域的普及与发展。</w:t>
      </w:r>
    </w:p>
    <w:p w14:paraId="2242E0E7">
      <w:pPr>
        <w:pStyle w:val="2"/>
        <w:adjustRightInd w:val="0"/>
        <w:snapToGrid w:val="0"/>
        <w:spacing w:line="360" w:lineRule="auto"/>
        <w:ind w:left="0" w:firstLine="480" w:firstLineChars="200"/>
        <w:rPr>
          <w:rFonts w:hint="eastAsia"/>
          <w:sz w:val="24"/>
          <w:szCs w:val="24"/>
        </w:rPr>
      </w:pPr>
      <w:r>
        <w:rPr>
          <w:sz w:val="24"/>
          <w:szCs w:val="24"/>
        </w:rPr>
        <w:t>1.0.</w:t>
      </w:r>
      <w:r>
        <w:rPr>
          <w:rFonts w:hint="eastAsia"/>
          <w:sz w:val="24"/>
          <w:szCs w:val="24"/>
          <w:lang w:val="en-US"/>
        </w:rPr>
        <w:t>3</w:t>
      </w:r>
      <w:r>
        <w:rPr>
          <w:rFonts w:hint="eastAsia"/>
          <w:sz w:val="24"/>
          <w:szCs w:val="24"/>
        </w:rPr>
        <w:t>工程监理企业在提供全过程工程咨询时，既可依据本标准覆盖的通用内容，也应结合项目需求和自身优势，为建设单位提供更广泛、更深入的咨询服务，例如可延伸至运维管理、资产管理等领域，以满足各类项目的多样化需求。</w:t>
      </w:r>
    </w:p>
    <w:p w14:paraId="53E14605">
      <w:pPr>
        <w:adjustRightInd w:val="0"/>
        <w:snapToGrid w:val="0"/>
        <w:spacing w:line="360" w:lineRule="auto"/>
        <w:ind w:firstLine="480" w:firstLineChars="200"/>
        <w:rPr>
          <w:sz w:val="24"/>
          <w:szCs w:val="24"/>
        </w:rPr>
      </w:pPr>
      <w:r>
        <w:rPr>
          <w:sz w:val="24"/>
          <w:szCs w:val="24"/>
        </w:rPr>
        <w:t>1.0.</w:t>
      </w:r>
      <w:r>
        <w:rPr>
          <w:rFonts w:hint="eastAsia"/>
          <w:sz w:val="24"/>
          <w:szCs w:val="24"/>
        </w:rPr>
        <w:t>4</w:t>
      </w:r>
      <w:r>
        <w:rPr>
          <w:sz w:val="24"/>
          <w:szCs w:val="24"/>
        </w:rPr>
        <w:t xml:space="preserve"> </w:t>
      </w:r>
      <w:r>
        <w:rPr>
          <w:rFonts w:hint="eastAsia"/>
          <w:sz w:val="24"/>
          <w:szCs w:val="24"/>
        </w:rPr>
        <w:t>工程监理企业可采用1+X、1+N+X、咨询服务组合等多种模式。“1”指全过程工程项目管理，由一家企业或者两家以上企业组成联合体承担项目管理，服务范围包括决策、实施和运营中的一个或多个阶段。在采用这些模式中，工程监理企业应注重以下几点：</w:t>
      </w:r>
    </w:p>
    <w:p w14:paraId="04480F14">
      <w:pPr>
        <w:adjustRightInd w:val="0"/>
        <w:snapToGrid w:val="0"/>
        <w:spacing w:line="360" w:lineRule="auto"/>
        <w:ind w:firstLine="480" w:firstLineChars="200"/>
        <w:rPr>
          <w:sz w:val="24"/>
          <w:szCs w:val="24"/>
        </w:rPr>
      </w:pPr>
      <w:r>
        <w:rPr>
          <w:rFonts w:hint="eastAsia"/>
          <w:sz w:val="24"/>
          <w:szCs w:val="24"/>
        </w:rPr>
        <w:t>（1）在总体框架下保持统筹管理，避免各专项服务环节相互脱节。</w:t>
      </w:r>
    </w:p>
    <w:p w14:paraId="5B771CE6">
      <w:pPr>
        <w:adjustRightInd w:val="0"/>
        <w:snapToGrid w:val="0"/>
        <w:spacing w:line="360" w:lineRule="auto"/>
        <w:ind w:firstLine="480" w:firstLineChars="200"/>
        <w:rPr>
          <w:sz w:val="24"/>
          <w:szCs w:val="24"/>
        </w:rPr>
      </w:pPr>
      <w:r>
        <w:rPr>
          <w:rFonts w:hint="eastAsia"/>
          <w:sz w:val="24"/>
          <w:szCs w:val="24"/>
        </w:rPr>
        <w:t>（2）以项目目标为导向，根据项目特点和建设单位需求灵活组建咨询团队.</w:t>
      </w:r>
    </w:p>
    <w:p w14:paraId="039C8AF6">
      <w:pPr>
        <w:adjustRightInd w:val="0"/>
        <w:snapToGrid w:val="0"/>
        <w:spacing w:line="360" w:lineRule="auto"/>
        <w:ind w:firstLine="480" w:firstLineChars="200"/>
        <w:rPr>
          <w:sz w:val="24"/>
          <w:szCs w:val="24"/>
        </w:rPr>
      </w:pPr>
      <w:r>
        <w:rPr>
          <w:rFonts w:hint="eastAsia"/>
          <w:sz w:val="24"/>
          <w:szCs w:val="24"/>
        </w:rPr>
        <w:t>（3）明确主责方与协作方的权责分工，并建立顺畅、有效的沟通和协同机制；</w:t>
      </w:r>
    </w:p>
    <w:p w14:paraId="278BA5F5">
      <w:pPr>
        <w:adjustRightInd w:val="0"/>
        <w:snapToGrid w:val="0"/>
        <w:spacing w:line="360" w:lineRule="auto"/>
        <w:ind w:firstLine="480" w:firstLineChars="200"/>
        <w:rPr>
          <w:rFonts w:hint="eastAsia" w:ascii="宋体" w:hAnsi="宋体"/>
          <w:sz w:val="24"/>
          <w:szCs w:val="24"/>
        </w:rPr>
      </w:pPr>
      <w:r>
        <w:rPr>
          <w:rFonts w:hint="eastAsia"/>
          <w:sz w:val="24"/>
          <w:szCs w:val="24"/>
        </w:rPr>
        <w:t>（4）在实际操作中及时评估与优化服务模式，以确保项目的质量、安全、进度、投资、合同及风险等目标得以实现。</w:t>
      </w:r>
    </w:p>
    <w:p w14:paraId="15664B47">
      <w:pPr>
        <w:adjustRightInd w:val="0"/>
        <w:snapToGrid w:val="0"/>
        <w:spacing w:line="360" w:lineRule="auto"/>
        <w:ind w:firstLine="480" w:firstLineChars="200"/>
        <w:rPr>
          <w:sz w:val="24"/>
          <w:szCs w:val="24"/>
        </w:rPr>
      </w:pPr>
      <w:r>
        <w:rPr>
          <w:rFonts w:hint="eastAsia"/>
          <w:sz w:val="24"/>
          <w:szCs w:val="24"/>
        </w:rPr>
        <w:t>1.0.5 工程监理企业不仅需根据项目规模及复杂程度应用BIM、GIS、物联网、互联网、大数据、云计算、人工智能等数智技术开展全过程工程咨询工作，还可根据合同约定协助建设单位建立数智管理平台，促进建设工程各参与方基于数智平台的信息共享和高效协同。</w:t>
      </w:r>
    </w:p>
    <w:p w14:paraId="31458593">
      <w:pPr>
        <w:pStyle w:val="2"/>
        <w:spacing w:before="0" w:line="360" w:lineRule="auto"/>
        <w:ind w:left="0" w:firstLine="480" w:firstLineChars="200"/>
        <w:rPr>
          <w:rFonts w:ascii="Calibri" w:hAnsi="Calibri" w:cs="Times New Roman"/>
          <w:sz w:val="24"/>
          <w:szCs w:val="24"/>
          <w:lang w:val="en-US" w:bidi="ar-SA"/>
        </w:rPr>
      </w:pPr>
      <w:r>
        <w:rPr>
          <w:rFonts w:hint="eastAsia"/>
          <w:sz w:val="24"/>
          <w:szCs w:val="24"/>
        </w:rPr>
        <w:t>1.0.</w:t>
      </w:r>
      <w:r>
        <w:rPr>
          <w:rFonts w:hint="eastAsia"/>
          <w:sz w:val="24"/>
          <w:szCs w:val="24"/>
          <w:lang w:val="en-US"/>
        </w:rPr>
        <w:t>6</w:t>
      </w:r>
      <w:r>
        <w:rPr>
          <w:rFonts w:hint="eastAsia"/>
          <w:sz w:val="24"/>
          <w:szCs w:val="24"/>
        </w:rPr>
        <w:t xml:space="preserve"> </w:t>
      </w:r>
      <w:r>
        <w:rPr>
          <w:rFonts w:hint="eastAsia" w:ascii="Calibri" w:hAnsi="Calibri" w:cs="Times New Roman"/>
          <w:sz w:val="24"/>
          <w:szCs w:val="24"/>
          <w:lang w:val="en-US" w:bidi="ar-SA"/>
        </w:rPr>
        <w:t>工程监理企业在执行本标准条文的同时，应对照各专业领域适用的法规规范进行综合性判断，并对项目所在地的地方性标准和政策要求做好衔接。尤其对于涉及绿色建筑、智慧建造、安全生产等有特殊规定的项目，应及时匹配相应技术标准及管理要求。</w:t>
      </w:r>
    </w:p>
    <w:p w14:paraId="38E4631B">
      <w:pPr>
        <w:widowControl/>
        <w:jc w:val="left"/>
        <w:rPr>
          <w:b/>
          <w:bCs/>
          <w:sz w:val="28"/>
          <w:szCs w:val="32"/>
        </w:rPr>
      </w:pPr>
      <w:r>
        <w:rPr>
          <w:b/>
          <w:bCs/>
          <w:sz w:val="28"/>
          <w:szCs w:val="32"/>
        </w:rPr>
        <w:br w:type="page"/>
      </w:r>
    </w:p>
    <w:p w14:paraId="4A0E525A">
      <w:pPr>
        <w:adjustRightInd w:val="0"/>
        <w:snapToGrid w:val="0"/>
        <w:spacing w:line="360" w:lineRule="auto"/>
        <w:outlineLvl w:val="0"/>
        <w:rPr>
          <w:b/>
          <w:bCs/>
          <w:sz w:val="28"/>
          <w:szCs w:val="32"/>
        </w:rPr>
      </w:pPr>
      <w:bookmarkStart w:id="42" w:name="_Toc190875439"/>
      <w:r>
        <w:rPr>
          <w:b/>
          <w:bCs/>
          <w:sz w:val="28"/>
          <w:szCs w:val="32"/>
        </w:rPr>
        <w:t xml:space="preserve">2 </w:t>
      </w:r>
      <w:r>
        <w:rPr>
          <w:rFonts w:hint="eastAsia"/>
          <w:b/>
          <w:bCs/>
          <w:sz w:val="28"/>
          <w:szCs w:val="32"/>
        </w:rPr>
        <w:t>术语</w:t>
      </w:r>
      <w:bookmarkEnd w:id="42"/>
    </w:p>
    <w:p w14:paraId="411F8660">
      <w:pPr>
        <w:adjustRightInd w:val="0"/>
        <w:snapToGrid w:val="0"/>
        <w:spacing w:line="360" w:lineRule="auto"/>
        <w:ind w:firstLine="480" w:firstLineChars="200"/>
        <w:rPr>
          <w:sz w:val="24"/>
          <w:szCs w:val="24"/>
        </w:rPr>
      </w:pPr>
      <w:r>
        <w:rPr>
          <w:rFonts w:hint="eastAsia"/>
          <w:sz w:val="24"/>
          <w:szCs w:val="24"/>
        </w:rPr>
        <w:t xml:space="preserve"> 2.0.1 委托方可以是投资人、建设项目的法人单位，也可以是有权限的相关政府主管部门等。</w:t>
      </w:r>
    </w:p>
    <w:p w14:paraId="13F2690C">
      <w:pPr>
        <w:widowControl/>
        <w:jc w:val="left"/>
        <w:rPr>
          <w:b/>
          <w:bCs/>
          <w:sz w:val="28"/>
          <w:szCs w:val="32"/>
        </w:rPr>
      </w:pPr>
      <w:r>
        <w:rPr>
          <w:b/>
          <w:bCs/>
          <w:sz w:val="28"/>
          <w:szCs w:val="32"/>
        </w:rPr>
        <w:br w:type="page"/>
      </w:r>
    </w:p>
    <w:p w14:paraId="7FEBDCA4">
      <w:pPr>
        <w:adjustRightInd w:val="0"/>
        <w:snapToGrid w:val="0"/>
        <w:spacing w:line="360" w:lineRule="auto"/>
        <w:outlineLvl w:val="0"/>
        <w:rPr>
          <w:b/>
          <w:bCs/>
          <w:sz w:val="28"/>
          <w:szCs w:val="32"/>
        </w:rPr>
      </w:pPr>
      <w:bookmarkStart w:id="43" w:name="_Toc190875440"/>
      <w:r>
        <w:rPr>
          <w:b/>
          <w:bCs/>
          <w:sz w:val="28"/>
          <w:szCs w:val="32"/>
        </w:rPr>
        <w:t xml:space="preserve">3 </w:t>
      </w:r>
      <w:r>
        <w:rPr>
          <w:rFonts w:hint="eastAsia"/>
          <w:b/>
          <w:bCs/>
          <w:sz w:val="28"/>
          <w:szCs w:val="32"/>
        </w:rPr>
        <w:t>基本规定</w:t>
      </w:r>
      <w:bookmarkEnd w:id="43"/>
    </w:p>
    <w:p w14:paraId="5EC2EE9F">
      <w:pPr>
        <w:adjustRightInd w:val="0"/>
        <w:snapToGrid w:val="0"/>
        <w:spacing w:line="360" w:lineRule="auto"/>
        <w:ind w:left="420" w:leftChars="200"/>
        <w:outlineLvl w:val="1"/>
        <w:rPr>
          <w:b/>
          <w:bCs/>
          <w:sz w:val="28"/>
          <w:szCs w:val="32"/>
        </w:rPr>
      </w:pPr>
      <w:bookmarkStart w:id="44" w:name="_Toc190875441"/>
      <w:r>
        <w:rPr>
          <w:b/>
          <w:bCs/>
          <w:sz w:val="28"/>
          <w:szCs w:val="32"/>
        </w:rPr>
        <w:t xml:space="preserve">3.1 </w:t>
      </w:r>
      <w:r>
        <w:rPr>
          <w:rFonts w:hint="eastAsia"/>
          <w:b/>
          <w:bCs/>
          <w:sz w:val="28"/>
          <w:szCs w:val="32"/>
        </w:rPr>
        <w:t>一般规定</w:t>
      </w:r>
      <w:bookmarkEnd w:id="44"/>
    </w:p>
    <w:p w14:paraId="0BCCF466">
      <w:pPr>
        <w:adjustRightInd w:val="0"/>
        <w:snapToGrid w:val="0"/>
        <w:spacing w:line="360" w:lineRule="auto"/>
        <w:ind w:firstLine="480" w:firstLineChars="200"/>
        <w:rPr>
          <w:sz w:val="24"/>
          <w:szCs w:val="24"/>
        </w:rPr>
      </w:pPr>
      <w:r>
        <w:rPr>
          <w:rFonts w:hint="eastAsia"/>
          <w:sz w:val="24"/>
          <w:szCs w:val="24"/>
        </w:rPr>
        <w:t>3.1.2 在人才发展过程中，应特别注重创新人才的培养。创新人才</w:t>
      </w:r>
      <w:r>
        <w:rPr>
          <w:sz w:val="24"/>
          <w:szCs w:val="24"/>
        </w:rPr>
        <w:t>具备创新意识、创新能力，并能在</w:t>
      </w:r>
      <w:r>
        <w:rPr>
          <w:rFonts w:hint="eastAsia"/>
          <w:sz w:val="24"/>
          <w:szCs w:val="24"/>
        </w:rPr>
        <w:t>全过程</w:t>
      </w:r>
      <w:r>
        <w:rPr>
          <w:sz w:val="24"/>
          <w:szCs w:val="24"/>
        </w:rPr>
        <w:t>工程咨询服务中运用新思维、新技术、新方法解决问题的专业人员。这类人才不仅需要深厚的专业知识基础，还应具有跨界融合能力</w:t>
      </w:r>
      <w:r>
        <w:rPr>
          <w:rFonts w:hint="eastAsia"/>
          <w:sz w:val="24"/>
          <w:szCs w:val="24"/>
        </w:rPr>
        <w:t>。在知识管理工作中，</w:t>
      </w:r>
      <w:r>
        <w:rPr>
          <w:sz w:val="24"/>
          <w:szCs w:val="24"/>
        </w:rPr>
        <w:t>知识库是全过程工程咨询的核心资产，它通过系统化收集、整理、存储和分发项目信息，为项目决策、实施和运营提供支持。知识库的价值在于促进信息共享、经验传承和效率提升，增强项目响应速度和质量控制。</w:t>
      </w:r>
    </w:p>
    <w:p w14:paraId="2CE758B8">
      <w:pPr>
        <w:adjustRightInd w:val="0"/>
        <w:snapToGrid w:val="0"/>
        <w:spacing w:line="360" w:lineRule="auto"/>
        <w:ind w:firstLine="480" w:firstLineChars="200"/>
        <w:rPr>
          <w:sz w:val="24"/>
          <w:szCs w:val="24"/>
        </w:rPr>
      </w:pPr>
      <w:r>
        <w:rPr>
          <w:rFonts w:hint="eastAsia"/>
          <w:sz w:val="24"/>
          <w:szCs w:val="24"/>
        </w:rPr>
        <w:t>3.1.3 工程监理企业应建立工程咨询机构考核制度，宜包括目标管理、文化与团队建设、廉政自律、执行能力、建设单位满意度等方面。</w:t>
      </w:r>
    </w:p>
    <w:p w14:paraId="4243664B">
      <w:pPr>
        <w:adjustRightInd w:val="0"/>
        <w:snapToGrid w:val="0"/>
        <w:spacing w:line="360" w:lineRule="auto"/>
        <w:ind w:firstLine="480" w:firstLineChars="200"/>
        <w:rPr>
          <w:sz w:val="24"/>
          <w:szCs w:val="24"/>
        </w:rPr>
      </w:pPr>
      <w:r>
        <w:rPr>
          <w:rFonts w:hint="eastAsia"/>
          <w:sz w:val="24"/>
          <w:szCs w:val="24"/>
        </w:rPr>
        <w:t>3.1.4 联合体牵头方宜由监理企业或设计企业承担。</w:t>
      </w:r>
      <w:r>
        <w:rPr>
          <w:sz w:val="24"/>
          <w:szCs w:val="24"/>
        </w:rPr>
        <w:t>联合体成员单位</w:t>
      </w:r>
      <w:r>
        <w:rPr>
          <w:rFonts w:hint="eastAsia"/>
          <w:sz w:val="24"/>
          <w:szCs w:val="24"/>
        </w:rPr>
        <w:t>须在</w:t>
      </w:r>
      <w:r>
        <w:rPr>
          <w:sz w:val="24"/>
          <w:szCs w:val="24"/>
        </w:rPr>
        <w:t>投标之前签订</w:t>
      </w:r>
      <w:r>
        <w:rPr>
          <w:rFonts w:hint="eastAsia"/>
          <w:sz w:val="24"/>
          <w:szCs w:val="24"/>
        </w:rPr>
        <w:t>标前</w:t>
      </w:r>
      <w:r>
        <w:rPr>
          <w:sz w:val="24"/>
          <w:szCs w:val="24"/>
        </w:rPr>
        <w:t>协议</w:t>
      </w:r>
      <w:r>
        <w:rPr>
          <w:rFonts w:hint="eastAsia"/>
          <w:sz w:val="24"/>
          <w:szCs w:val="24"/>
        </w:rPr>
        <w:t>，</w:t>
      </w:r>
      <w:r>
        <w:rPr>
          <w:sz w:val="24"/>
          <w:szCs w:val="24"/>
        </w:rPr>
        <w:t>明确约定各方拟承担的工作</w:t>
      </w:r>
      <w:r>
        <w:rPr>
          <w:rFonts w:hint="eastAsia"/>
          <w:sz w:val="24"/>
          <w:szCs w:val="24"/>
        </w:rPr>
        <w:t>、</w:t>
      </w:r>
      <w:r>
        <w:rPr>
          <w:sz w:val="24"/>
          <w:szCs w:val="24"/>
        </w:rPr>
        <w:t>责任</w:t>
      </w:r>
      <w:r>
        <w:rPr>
          <w:rFonts w:hint="eastAsia"/>
          <w:sz w:val="24"/>
          <w:szCs w:val="24"/>
        </w:rPr>
        <w:t>和协作机制；联合体中标后，在合同签订阶段、进场前准备阶段，应结合实际情况对标前协议中确定的联合体各方职责和协作机制进一步细化落实和补充完善</w:t>
      </w:r>
      <w:r>
        <w:rPr>
          <w:sz w:val="24"/>
          <w:szCs w:val="24"/>
        </w:rPr>
        <w:t>。</w:t>
      </w:r>
    </w:p>
    <w:p w14:paraId="43417654">
      <w:pPr>
        <w:adjustRightInd w:val="0"/>
        <w:snapToGrid w:val="0"/>
        <w:spacing w:line="360" w:lineRule="auto"/>
        <w:ind w:firstLine="480" w:firstLineChars="200"/>
        <w:rPr>
          <w:sz w:val="24"/>
          <w:szCs w:val="24"/>
        </w:rPr>
      </w:pPr>
      <w:r>
        <w:rPr>
          <w:rFonts w:hint="eastAsia"/>
          <w:sz w:val="24"/>
          <w:szCs w:val="24"/>
        </w:rPr>
        <w:t>3.1.5 全过程工程咨询策划成果文件可包括全过程工程咨询总体策划大纲、专项咨询策划方案、专项咨询实施细则和工作制度体系等，全过程工程咨询总体策划大纲是指导全过程工程咨询工作的纲领性文件，是必须编制的文件，其他几项文件编制与否需根据项目复杂程度、全过程工程咨询服务范围和内容等项目实际情况和全过程工程咨询合同约定进行确定。</w:t>
      </w:r>
    </w:p>
    <w:p w14:paraId="6CE25029">
      <w:pPr>
        <w:adjustRightInd w:val="0"/>
        <w:snapToGrid w:val="0"/>
        <w:spacing w:line="360" w:lineRule="auto"/>
        <w:ind w:firstLine="480" w:firstLineChars="200"/>
        <w:rPr>
          <w:sz w:val="24"/>
          <w:szCs w:val="24"/>
        </w:rPr>
      </w:pPr>
      <w:r>
        <w:rPr>
          <w:rFonts w:hint="eastAsia"/>
          <w:sz w:val="24"/>
          <w:szCs w:val="24"/>
        </w:rPr>
        <w:t>咨询活动实施过程中，因实际情况或条件发生变化而需要调整工程咨询策划成果文件时，应重新履行审核手续后报送委托方。</w:t>
      </w:r>
    </w:p>
    <w:p w14:paraId="61C9A89A">
      <w:pPr>
        <w:adjustRightInd w:val="0"/>
        <w:snapToGrid w:val="0"/>
        <w:spacing w:line="360" w:lineRule="auto"/>
        <w:ind w:firstLine="480" w:firstLineChars="200"/>
        <w:rPr>
          <w:sz w:val="24"/>
          <w:szCs w:val="24"/>
        </w:rPr>
      </w:pPr>
      <w:r>
        <w:rPr>
          <w:rFonts w:hint="eastAsia"/>
          <w:sz w:val="24"/>
          <w:szCs w:val="24"/>
        </w:rPr>
        <w:t>3.1.7专项咨询策划方案是针对某项特定的专项咨询工作编制的，是对全过程工程咨询总体策划大纲中涉及专项咨询内容的深化和细化，用于指导特定专项咨询的工作开展。在编制专项咨询策划方案中需注意：</w:t>
      </w:r>
    </w:p>
    <w:p w14:paraId="105611F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（1）在方案编制过程中应充分调研项目关键问题及潜在风险。</w:t>
      </w:r>
    </w:p>
    <w:p w14:paraId="50FBC110">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（2）与项目总体策划大纲保持一致，并形成有效衔接。</w:t>
      </w:r>
    </w:p>
    <w:p w14:paraId="652A739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（3）注重可操作性和阶段性成果的交付方式，以便后续工作实现无缝衔接。</w:t>
      </w:r>
    </w:p>
    <w:p w14:paraId="3E42298A">
      <w:pPr>
        <w:pStyle w:val="2"/>
        <w:spacing w:line="360" w:lineRule="auto"/>
        <w:ind w:left="0" w:firstLine="480" w:firstLineChars="200"/>
        <w:rPr>
          <w:rFonts w:ascii="Calibri" w:hAnsi="Calibri" w:cs="Times New Roman"/>
          <w:sz w:val="24"/>
          <w:szCs w:val="24"/>
          <w:lang w:val="en-US" w:bidi="ar-SA"/>
        </w:rPr>
      </w:pPr>
      <w:r>
        <w:rPr>
          <w:rFonts w:hint="eastAsia" w:ascii="Calibri" w:hAnsi="Calibri" w:cs="Times New Roman"/>
          <w:sz w:val="24"/>
          <w:szCs w:val="24"/>
          <w:lang w:val="en-US" w:bidi="ar-SA"/>
        </w:rPr>
        <w:t>3.1.8 专项咨询实施细则可使管理对象更加明确、技术路线更加详尽，便于全过程工程咨询团队精准把控。在细则执行过程中根据实际情况动态调整，并与相关方进行及时沟通。</w:t>
      </w:r>
    </w:p>
    <w:p w14:paraId="3FD292F3">
      <w:pPr>
        <w:adjustRightInd w:val="0"/>
        <w:snapToGrid w:val="0"/>
        <w:spacing w:line="360" w:lineRule="auto"/>
        <w:ind w:firstLine="480" w:firstLineChars="200"/>
        <w:rPr>
          <w:sz w:val="24"/>
          <w:szCs w:val="24"/>
        </w:rPr>
      </w:pPr>
      <w:r>
        <w:rPr>
          <w:rFonts w:hint="eastAsia"/>
          <w:sz w:val="24"/>
          <w:szCs w:val="24"/>
        </w:rPr>
        <w:t>3.1.11统筹管理是工程咨询机构以投资建设项目全生命周期综合目标最优化为核心，在投资决策、工程建设、项目运营等各阶段，从建设必要性、要素保障性、工程可行性、运营有效性、财务合理性、影响持续性和风险可控性等方面进行整体考虑，综合系统运用相关理论、方法、技术、工具和经验等，在找出关键环节和主要矛盾的基础上进行全面策划，组织协调各利益相关方，实现项目目标和价值交付的管理活动。</w:t>
      </w:r>
    </w:p>
    <w:p w14:paraId="2D0D5DFA">
      <w:pPr>
        <w:adjustRightInd w:val="0"/>
        <w:snapToGrid w:val="0"/>
        <w:spacing w:line="360" w:lineRule="auto"/>
        <w:ind w:left="420" w:leftChars="200"/>
        <w:outlineLvl w:val="1"/>
        <w:rPr>
          <w:b/>
          <w:bCs/>
          <w:sz w:val="28"/>
          <w:szCs w:val="32"/>
        </w:rPr>
      </w:pPr>
      <w:bookmarkStart w:id="45" w:name="_Toc190875442"/>
      <w:r>
        <w:rPr>
          <w:rFonts w:hint="eastAsia"/>
          <w:b/>
          <w:bCs/>
          <w:sz w:val="28"/>
          <w:szCs w:val="32"/>
        </w:rPr>
        <w:t>3.2</w:t>
      </w:r>
      <w:r>
        <w:rPr>
          <w:b/>
          <w:bCs/>
          <w:sz w:val="28"/>
          <w:szCs w:val="32"/>
        </w:rPr>
        <w:t xml:space="preserve"> </w:t>
      </w:r>
      <w:r>
        <w:rPr>
          <w:rFonts w:hint="eastAsia"/>
          <w:b/>
          <w:bCs/>
          <w:sz w:val="28"/>
          <w:szCs w:val="32"/>
        </w:rPr>
        <w:t>组织模式</w:t>
      </w:r>
      <w:bookmarkEnd w:id="45"/>
    </w:p>
    <w:p w14:paraId="6E59B174">
      <w:pPr>
        <w:adjustRightInd w:val="0"/>
        <w:snapToGrid w:val="0"/>
        <w:spacing w:line="360" w:lineRule="auto"/>
        <w:ind w:firstLine="480" w:firstLineChars="200"/>
        <w:rPr>
          <w:sz w:val="24"/>
          <w:szCs w:val="24"/>
        </w:rPr>
      </w:pPr>
      <w:r>
        <w:rPr>
          <w:rFonts w:hint="eastAsia"/>
          <w:sz w:val="24"/>
          <w:szCs w:val="24"/>
        </w:rPr>
        <w:t>3.2.1 工程机构可根据项目特点、管理需要、人员配备情况，进一步细化专项咨询负责人、咨询工程师的岗位设置。对于规模较小、难度不高的项目，部分岗位可相互兼任。当项目规模较大、建设内容复杂时，工程监理企业可根据项目实际情况并结合合同约定选择设置工程咨询项目副负责人。工程咨询项目副负责人可以由工程咨询项目总负责人推荐，并由工程监理企业的法定代表人授权。</w:t>
      </w:r>
    </w:p>
    <w:p w14:paraId="7900C04D">
      <w:pPr>
        <w:adjustRightInd w:val="0"/>
        <w:snapToGrid w:val="0"/>
        <w:spacing w:line="360" w:lineRule="auto"/>
        <w:ind w:firstLine="480" w:firstLineChars="200"/>
        <w:rPr>
          <w:sz w:val="24"/>
          <w:szCs w:val="24"/>
        </w:rPr>
      </w:pPr>
      <w:r>
        <w:rPr>
          <w:rFonts w:hint="eastAsia"/>
          <w:sz w:val="24"/>
          <w:szCs w:val="24"/>
        </w:rPr>
        <w:t>3.2.2 目标决定组织，组织是目标能否实现的决定性因素。只有在理顺项目组织管理的前提下，各项目标控制才有可能顺利完成。组织管理是建设工程项目管理咨询的一项重要工作任务。</w:t>
      </w:r>
    </w:p>
    <w:p w14:paraId="09F7D4AE">
      <w:pPr>
        <w:adjustRightInd w:val="0"/>
        <w:snapToGrid w:val="0"/>
        <w:spacing w:line="360" w:lineRule="auto"/>
        <w:ind w:firstLine="480" w:firstLineChars="200"/>
        <w:rPr>
          <w:sz w:val="24"/>
          <w:szCs w:val="24"/>
        </w:rPr>
      </w:pPr>
      <w:r>
        <w:rPr>
          <w:rFonts w:hint="eastAsia"/>
          <w:sz w:val="24"/>
          <w:szCs w:val="24"/>
        </w:rPr>
        <w:t>3.2.3 工程咨询管理机构应注意各职能管理部门工作界面之间的联系和制约，以及项目阶段特点、项目变更、项目环境变化等因素对工作界面的影响。</w:t>
      </w:r>
    </w:p>
    <w:p w14:paraId="33C2B0B1">
      <w:pPr>
        <w:adjustRightInd w:val="0"/>
        <w:snapToGrid w:val="0"/>
        <w:spacing w:line="360" w:lineRule="auto"/>
        <w:ind w:left="420" w:leftChars="200"/>
        <w:outlineLvl w:val="1"/>
        <w:rPr>
          <w:b/>
          <w:bCs/>
          <w:sz w:val="28"/>
          <w:szCs w:val="32"/>
        </w:rPr>
      </w:pPr>
      <w:bookmarkStart w:id="46" w:name="_Toc190875443"/>
      <w:r>
        <w:rPr>
          <w:rFonts w:hint="eastAsia"/>
          <w:b/>
          <w:bCs/>
          <w:sz w:val="28"/>
          <w:szCs w:val="32"/>
        </w:rPr>
        <w:t>3.3</w:t>
      </w:r>
      <w:r>
        <w:rPr>
          <w:b/>
          <w:bCs/>
          <w:sz w:val="28"/>
          <w:szCs w:val="32"/>
        </w:rPr>
        <w:t xml:space="preserve"> </w:t>
      </w:r>
      <w:r>
        <w:rPr>
          <w:rFonts w:hint="eastAsia"/>
          <w:b/>
          <w:bCs/>
          <w:sz w:val="28"/>
          <w:szCs w:val="32"/>
        </w:rPr>
        <w:t>人员职责</w:t>
      </w:r>
      <w:bookmarkEnd w:id="46"/>
    </w:p>
    <w:p w14:paraId="24689001">
      <w:pPr>
        <w:adjustRightInd w:val="0"/>
        <w:snapToGrid w:val="0"/>
        <w:spacing w:line="360" w:lineRule="auto"/>
        <w:ind w:firstLine="480" w:firstLineChars="200"/>
        <w:rPr>
          <w:sz w:val="24"/>
          <w:szCs w:val="24"/>
        </w:rPr>
      </w:pPr>
      <w:r>
        <w:rPr>
          <w:rFonts w:hint="eastAsia"/>
          <w:sz w:val="24"/>
          <w:szCs w:val="24"/>
        </w:rPr>
        <w:t>3.3.1 工程咨询项目总负责人应取得咨询工程师（投资）职业资格证书或工程建设类注册职业资格，如：注册建筑师、注册结构工程师、注册土木工程师、一级建造师、监理工程师、造价工程师等。专业咨询负责人应具有法律承担投资决策咨询、工程勘察、设计法规规定的相应职业资格。承担专业岗位的咨询工程师，应具有法律法规规定的相应职业资格。</w:t>
      </w:r>
    </w:p>
    <w:p w14:paraId="034C4229">
      <w:pPr>
        <w:adjustRightInd w:val="0"/>
        <w:snapToGrid w:val="0"/>
        <w:spacing w:line="360" w:lineRule="auto"/>
        <w:ind w:firstLine="480" w:firstLineChars="200"/>
        <w:rPr>
          <w:sz w:val="24"/>
          <w:szCs w:val="24"/>
        </w:rPr>
      </w:pPr>
      <w:r>
        <w:rPr>
          <w:rFonts w:hint="eastAsia"/>
          <w:sz w:val="24"/>
          <w:szCs w:val="24"/>
        </w:rPr>
        <w:t>工程咨询项目总负责人应具有类似项目经验及能力，应担任过类似工程咨询总负责人或专业咨询负责人；专业咨询负责人应具有类似工程经验及能力。工程咨询总负责人、专业咨询负责人宜具备完整的工程咨询和项目管理知识体系，以及良好的策划、组织、领导、沟通、协调和指挥能力。</w:t>
      </w:r>
    </w:p>
    <w:p w14:paraId="2D998106">
      <w:pPr>
        <w:adjustRightInd w:val="0"/>
        <w:snapToGrid w:val="0"/>
        <w:spacing w:line="360" w:lineRule="auto"/>
        <w:ind w:firstLine="562" w:firstLineChars="200"/>
        <w:rPr>
          <w:b/>
          <w:bCs/>
          <w:sz w:val="28"/>
          <w:szCs w:val="32"/>
        </w:rPr>
      </w:pPr>
      <w:r>
        <w:rPr>
          <w:b/>
          <w:bCs/>
          <w:sz w:val="28"/>
          <w:szCs w:val="32"/>
        </w:rPr>
        <w:br w:type="page"/>
      </w:r>
    </w:p>
    <w:p w14:paraId="104BAEC7">
      <w:pPr>
        <w:adjustRightInd w:val="0"/>
        <w:snapToGrid w:val="0"/>
        <w:spacing w:line="360" w:lineRule="auto"/>
        <w:outlineLvl w:val="0"/>
        <w:rPr>
          <w:b/>
          <w:bCs/>
          <w:sz w:val="28"/>
          <w:szCs w:val="32"/>
        </w:rPr>
      </w:pPr>
      <w:bookmarkStart w:id="47" w:name="_Toc190875444"/>
      <w:r>
        <w:rPr>
          <w:rFonts w:hint="eastAsia"/>
          <w:b/>
          <w:bCs/>
          <w:sz w:val="28"/>
          <w:szCs w:val="32"/>
        </w:rPr>
        <w:t>4</w:t>
      </w:r>
      <w:r>
        <w:rPr>
          <w:b/>
          <w:bCs/>
          <w:sz w:val="28"/>
          <w:szCs w:val="32"/>
        </w:rPr>
        <w:t xml:space="preserve"> </w:t>
      </w:r>
      <w:r>
        <w:rPr>
          <w:rFonts w:hint="eastAsia"/>
          <w:b/>
          <w:bCs/>
          <w:sz w:val="28"/>
          <w:szCs w:val="32"/>
        </w:rPr>
        <w:t>投资决策综合性咨询</w:t>
      </w:r>
      <w:bookmarkEnd w:id="47"/>
    </w:p>
    <w:p w14:paraId="48784C81">
      <w:pPr>
        <w:adjustRightInd w:val="0"/>
        <w:snapToGrid w:val="0"/>
        <w:spacing w:line="360" w:lineRule="auto"/>
        <w:ind w:left="420" w:leftChars="200"/>
        <w:outlineLvl w:val="1"/>
        <w:rPr>
          <w:b/>
          <w:bCs/>
          <w:sz w:val="28"/>
          <w:szCs w:val="32"/>
        </w:rPr>
      </w:pPr>
      <w:bookmarkStart w:id="48" w:name="_Toc190875445"/>
      <w:r>
        <w:rPr>
          <w:rFonts w:hint="eastAsia"/>
          <w:b/>
          <w:bCs/>
          <w:sz w:val="28"/>
          <w:szCs w:val="32"/>
        </w:rPr>
        <w:t>4</w:t>
      </w:r>
      <w:r>
        <w:rPr>
          <w:b/>
          <w:bCs/>
          <w:sz w:val="28"/>
          <w:szCs w:val="32"/>
        </w:rPr>
        <w:t xml:space="preserve">.1 </w:t>
      </w:r>
      <w:r>
        <w:rPr>
          <w:rFonts w:hint="eastAsia"/>
          <w:b/>
          <w:bCs/>
          <w:sz w:val="28"/>
          <w:szCs w:val="32"/>
        </w:rPr>
        <w:t>一般规定</w:t>
      </w:r>
      <w:bookmarkEnd w:id="48"/>
    </w:p>
    <w:p w14:paraId="250026CD">
      <w:pPr>
        <w:adjustRightInd w:val="0"/>
        <w:snapToGrid w:val="0"/>
        <w:spacing w:line="360" w:lineRule="auto"/>
        <w:ind w:firstLine="480" w:firstLineChars="200"/>
        <w:rPr>
          <w:sz w:val="24"/>
          <w:szCs w:val="24"/>
        </w:rPr>
      </w:pPr>
      <w:r>
        <w:rPr>
          <w:rFonts w:hint="eastAsia"/>
          <w:sz w:val="24"/>
          <w:szCs w:val="24"/>
        </w:rPr>
        <w:t>4.1.1本标准适用于建设项目投资决策环节，由工程</w:t>
      </w:r>
      <w:r>
        <w:rPr>
          <w:rFonts w:hint="eastAsia"/>
          <w:sz w:val="24"/>
          <w:szCs w:val="28"/>
        </w:rPr>
        <w:t>咨询机构</w:t>
      </w:r>
      <w:r>
        <w:rPr>
          <w:rFonts w:hint="eastAsia"/>
          <w:sz w:val="24"/>
          <w:szCs w:val="24"/>
        </w:rPr>
        <w:t>根据投资方委托，综合考虑建设项目客观需求和现行法律法规规定的审批事项要求，为投资方提供客观、一揽子、协调性强的咨询服务。</w:t>
      </w:r>
    </w:p>
    <w:p w14:paraId="711E78C3">
      <w:pPr>
        <w:adjustRightInd w:val="0"/>
        <w:snapToGrid w:val="0"/>
        <w:spacing w:line="360" w:lineRule="auto"/>
        <w:ind w:firstLine="480" w:firstLineChars="200"/>
        <w:rPr>
          <w:sz w:val="24"/>
          <w:szCs w:val="24"/>
        </w:rPr>
      </w:pPr>
      <w:r>
        <w:rPr>
          <w:rFonts w:hint="eastAsia"/>
          <w:sz w:val="24"/>
          <w:szCs w:val="24"/>
        </w:rPr>
        <w:t>4.1.4 工程</w:t>
      </w:r>
      <w:r>
        <w:rPr>
          <w:rFonts w:hint="eastAsia"/>
          <w:sz w:val="24"/>
          <w:szCs w:val="28"/>
        </w:rPr>
        <w:t>咨询机构</w:t>
      </w:r>
      <w:r>
        <w:rPr>
          <w:rFonts w:hint="eastAsia"/>
          <w:sz w:val="24"/>
          <w:szCs w:val="24"/>
        </w:rPr>
        <w:t>提供投资决策综合性咨询服务时，除按要求完成成果文件外，还需协助委托方开展成果文件报批工作，并参加该咨询文件的专家评审会议、按要求提交归档资料。</w:t>
      </w:r>
    </w:p>
    <w:p w14:paraId="7E60062C">
      <w:pPr>
        <w:adjustRightInd w:val="0"/>
        <w:snapToGrid w:val="0"/>
        <w:spacing w:line="360" w:lineRule="auto"/>
        <w:ind w:firstLine="480" w:firstLineChars="200"/>
      </w:pPr>
      <w:r>
        <w:rPr>
          <w:rFonts w:hint="eastAsia"/>
          <w:sz w:val="24"/>
          <w:szCs w:val="24"/>
        </w:rPr>
        <w:t>按照《关于印发全国投资项目在线审批监管平台投资审批管理事项统一名称和申请材料清单的通知》（发改投资〔2019〕268号）要求，除涉及国家秘密的项目外，有关审批部门应当通过投资项目在线审批监管平台（以下简称在线平台），使用包含在线平台生成的项目代码办理政府投资项目审批手续。有关审批部门的审批申请材料应当包含项目代码。</w:t>
      </w:r>
    </w:p>
    <w:p w14:paraId="14CCCB44">
      <w:pPr>
        <w:adjustRightInd w:val="0"/>
        <w:snapToGrid w:val="0"/>
        <w:spacing w:line="360" w:lineRule="auto"/>
        <w:ind w:left="420" w:leftChars="200"/>
        <w:outlineLvl w:val="1"/>
        <w:rPr>
          <w:b/>
          <w:bCs/>
          <w:sz w:val="28"/>
          <w:szCs w:val="32"/>
        </w:rPr>
      </w:pPr>
      <w:bookmarkStart w:id="49" w:name="_Toc190875446"/>
      <w:r>
        <w:rPr>
          <w:rFonts w:hint="eastAsia"/>
          <w:b/>
          <w:bCs/>
          <w:sz w:val="28"/>
          <w:szCs w:val="32"/>
        </w:rPr>
        <w:t>4</w:t>
      </w:r>
      <w:r>
        <w:rPr>
          <w:b/>
          <w:bCs/>
          <w:sz w:val="28"/>
          <w:szCs w:val="32"/>
        </w:rPr>
        <w:t xml:space="preserve">.2 </w:t>
      </w:r>
      <w:r>
        <w:rPr>
          <w:rFonts w:hint="eastAsia"/>
          <w:b/>
          <w:bCs/>
          <w:sz w:val="28"/>
          <w:szCs w:val="32"/>
        </w:rPr>
        <w:t>可行性研究</w:t>
      </w:r>
      <w:bookmarkEnd w:id="49"/>
    </w:p>
    <w:p w14:paraId="50EA7DDC">
      <w:pPr>
        <w:adjustRightInd w:val="0"/>
        <w:snapToGrid w:val="0"/>
        <w:spacing w:line="360" w:lineRule="auto"/>
        <w:ind w:firstLine="480" w:firstLineChars="200"/>
        <w:rPr>
          <w:sz w:val="24"/>
          <w:szCs w:val="24"/>
        </w:rPr>
      </w:pPr>
      <w:r>
        <w:rPr>
          <w:rFonts w:hint="eastAsia"/>
          <w:sz w:val="24"/>
          <w:szCs w:val="24"/>
        </w:rPr>
        <w:t>4.2.3 项目建议书编制的依据主要包括《政府投资条例》（国务院第712号令）、《中央预算内直接投资项目管理办法》（国家发展改革委2014年第7号令）等相关法律法规、政策及标准，国家及项目所在地经济社会发展规划，相关行业发展规划及专项规划，相关行业、市场调研信息及论证资料，工程咨询合同，委托方技术及投资需求等。项目建议书侧重于分析项目建设必要性、可能性，并提出初步建设方案。项目建议书是判断项目是否有生命力，是否值得投入更多的人力和资金而开展的研究。项目建议书的成果包括正文（含文本、图表）、附件。</w:t>
      </w:r>
    </w:p>
    <w:p w14:paraId="31681A72">
      <w:pPr>
        <w:adjustRightInd w:val="0"/>
        <w:snapToGrid w:val="0"/>
        <w:spacing w:line="360" w:lineRule="auto"/>
        <w:ind w:firstLine="480" w:firstLineChars="200"/>
        <w:rPr>
          <w:sz w:val="24"/>
          <w:szCs w:val="24"/>
        </w:rPr>
      </w:pPr>
      <w:r>
        <w:rPr>
          <w:rFonts w:hint="eastAsia"/>
          <w:sz w:val="24"/>
          <w:szCs w:val="24"/>
        </w:rPr>
        <w:t>4.2.5 项目申请报告编制依据主要包括《企业投资项目核准和备案管理条例》（国务院第673号令）、《企业投资项目核准和备案管理办法》（国家发展改革委2017年第2号令）、《国家发展改革委关于发布项目申请报告通用文本的通知》（发改投资〔2017〕684号）等相关法律法规、政策及标准；国家及工程所在地经济社会发展规划、相关行业发展规划及专项规划；相关行业、市场调研信息及论证资料；可行性研究报告（如有）；委托方发展战略规划及项目合作协议，工程咨询合同，委托方技术及投资需求等。项目申请报告主要分析项目外部性、公共性影响，重点针对规划和政策符合性、资源环境和节能、用地和征地拆迁、经济和社会影响等方面深入分析，并附相关文件资料。</w:t>
      </w:r>
    </w:p>
    <w:p w14:paraId="6E2BBCA7">
      <w:pPr>
        <w:adjustRightInd w:val="0"/>
        <w:snapToGrid w:val="0"/>
        <w:spacing w:line="360" w:lineRule="auto"/>
        <w:ind w:firstLine="480" w:firstLineChars="200"/>
        <w:rPr>
          <w:sz w:val="24"/>
          <w:szCs w:val="24"/>
        </w:rPr>
      </w:pPr>
      <w:r>
        <w:rPr>
          <w:rFonts w:hint="eastAsia"/>
          <w:sz w:val="24"/>
          <w:szCs w:val="24"/>
        </w:rPr>
        <w:t>4.2.6 资金申请报告编制依据主要包括《中央预算内投资补助和贴息项目管理办法》（国家发展改革委2016年第45号令）等国家相关法律法规；投资主管部门的申报要求；可行性研究报告等相关资料等。资金申请报告应明确资金申请理由，论证投资方案实施的可行性和资金使用效率，为政府主管部门投资决策提供依据。资金申请报告需重点分析建设条件落实情况，项目列入三年滚动投资计划并通过在线平台完成审批（核准、备案）情况，及申请投资补助或者贴息资金的主要理由和政策依据等。</w:t>
      </w:r>
    </w:p>
    <w:p w14:paraId="4117A792">
      <w:pPr>
        <w:widowControl/>
        <w:jc w:val="left"/>
        <w:rPr>
          <w:b/>
          <w:bCs/>
          <w:sz w:val="28"/>
          <w:szCs w:val="32"/>
        </w:rPr>
      </w:pPr>
      <w:r>
        <w:rPr>
          <w:b/>
          <w:bCs/>
          <w:sz w:val="28"/>
          <w:szCs w:val="32"/>
        </w:rPr>
        <w:br w:type="page"/>
      </w:r>
    </w:p>
    <w:p w14:paraId="7B08F2CF">
      <w:pPr>
        <w:adjustRightInd w:val="0"/>
        <w:snapToGrid w:val="0"/>
        <w:spacing w:line="360" w:lineRule="auto"/>
        <w:outlineLvl w:val="0"/>
        <w:rPr>
          <w:b/>
          <w:bCs/>
          <w:sz w:val="28"/>
          <w:szCs w:val="32"/>
        </w:rPr>
      </w:pPr>
      <w:bookmarkStart w:id="50" w:name="_Toc190875447"/>
      <w:r>
        <w:rPr>
          <w:rFonts w:hint="eastAsia"/>
          <w:b/>
          <w:bCs/>
          <w:sz w:val="28"/>
          <w:szCs w:val="32"/>
        </w:rPr>
        <w:t>5</w:t>
      </w:r>
      <w:r>
        <w:rPr>
          <w:b/>
          <w:bCs/>
          <w:sz w:val="28"/>
          <w:szCs w:val="32"/>
        </w:rPr>
        <w:t xml:space="preserve"> </w:t>
      </w:r>
      <w:r>
        <w:rPr>
          <w:rFonts w:hint="eastAsia"/>
          <w:b/>
          <w:bCs/>
          <w:sz w:val="28"/>
          <w:szCs w:val="32"/>
        </w:rPr>
        <w:t>工程建设全过程咨询</w:t>
      </w:r>
      <w:bookmarkEnd w:id="50"/>
    </w:p>
    <w:p w14:paraId="44F5A775">
      <w:pPr>
        <w:spacing w:line="360" w:lineRule="auto"/>
        <w:ind w:left="420" w:leftChars="200"/>
        <w:outlineLvl w:val="1"/>
        <w:rPr>
          <w:b/>
          <w:bCs/>
          <w:sz w:val="28"/>
          <w:szCs w:val="32"/>
        </w:rPr>
      </w:pPr>
      <w:bookmarkStart w:id="51" w:name="_Toc190875448"/>
      <w:r>
        <w:rPr>
          <w:rFonts w:hint="eastAsia"/>
          <w:b/>
          <w:bCs/>
          <w:sz w:val="28"/>
          <w:szCs w:val="32"/>
        </w:rPr>
        <w:t>5</w:t>
      </w:r>
      <w:r>
        <w:rPr>
          <w:b/>
          <w:bCs/>
          <w:sz w:val="28"/>
          <w:szCs w:val="32"/>
        </w:rPr>
        <w:t xml:space="preserve">.3 </w:t>
      </w:r>
      <w:r>
        <w:rPr>
          <w:rFonts w:hint="eastAsia"/>
          <w:b/>
          <w:bCs/>
          <w:sz w:val="28"/>
          <w:szCs w:val="32"/>
        </w:rPr>
        <w:t>工程勘察设计管理</w:t>
      </w:r>
      <w:bookmarkEnd w:id="51"/>
    </w:p>
    <w:p w14:paraId="29D29102">
      <w:pPr>
        <w:tabs>
          <w:tab w:val="left" w:pos="312"/>
        </w:tabs>
        <w:spacing w:line="360" w:lineRule="auto"/>
        <w:ind w:firstLine="480" w:firstLineChars="200"/>
        <w:rPr>
          <w:sz w:val="24"/>
          <w:szCs w:val="24"/>
        </w:rPr>
      </w:pPr>
      <w:r>
        <w:rPr>
          <w:rFonts w:hint="eastAsia"/>
          <w:sz w:val="24"/>
          <w:szCs w:val="24"/>
        </w:rPr>
        <w:t>5</w:t>
      </w:r>
      <w:r>
        <w:rPr>
          <w:sz w:val="24"/>
          <w:szCs w:val="24"/>
        </w:rPr>
        <w:t>.3.</w:t>
      </w:r>
      <w:r>
        <w:rPr>
          <w:rFonts w:hint="eastAsia"/>
          <w:sz w:val="24"/>
          <w:szCs w:val="24"/>
        </w:rPr>
        <w:t>1</w:t>
      </w:r>
      <w:r>
        <w:rPr>
          <w:sz w:val="24"/>
          <w:szCs w:val="24"/>
        </w:rPr>
        <w:t xml:space="preserve"> </w:t>
      </w:r>
      <w:r>
        <w:rPr>
          <w:rFonts w:hint="eastAsia"/>
          <w:sz w:val="24"/>
          <w:szCs w:val="24"/>
        </w:rPr>
        <w:t>岩土工程勘察按阶段可分为可行性研究勘察、初步设计勘察、详细勘察、施工勘察，工程</w:t>
      </w:r>
      <w:r>
        <w:rPr>
          <w:rFonts w:hint="eastAsia"/>
          <w:sz w:val="24"/>
          <w:szCs w:val="28"/>
        </w:rPr>
        <w:t>咨询机构</w:t>
      </w:r>
      <w:r>
        <w:rPr>
          <w:rFonts w:hint="eastAsia"/>
          <w:sz w:val="24"/>
          <w:szCs w:val="24"/>
        </w:rPr>
        <w:t>应综合考虑工程复杂程度、建设需求和同类项目资料，确定项目所涉及的勘察阶段。</w:t>
      </w:r>
    </w:p>
    <w:p w14:paraId="0E11B779">
      <w:pPr>
        <w:tabs>
          <w:tab w:val="left" w:pos="312"/>
        </w:tabs>
        <w:spacing w:line="360" w:lineRule="auto"/>
        <w:ind w:firstLine="480" w:firstLineChars="200"/>
        <w:rPr>
          <w:sz w:val="24"/>
          <w:szCs w:val="24"/>
        </w:rPr>
      </w:pPr>
      <w:r>
        <w:rPr>
          <w:rFonts w:hint="eastAsia"/>
          <w:sz w:val="24"/>
          <w:szCs w:val="24"/>
        </w:rPr>
        <w:t>具体勘察工作包括工程测量、岩土工程勘察（包括初步勘察和详细勘察等）、水文地质勘察、工程物探、岩土工程设计、岩土工程检测与测试、岩土工程治理、工程监测等。</w:t>
      </w:r>
    </w:p>
    <w:p w14:paraId="57A5D6A6">
      <w:pPr>
        <w:adjustRightInd w:val="0"/>
        <w:snapToGrid w:val="0"/>
        <w:spacing w:line="360" w:lineRule="auto"/>
        <w:ind w:firstLine="480" w:firstLineChars="200"/>
        <w:rPr>
          <w:sz w:val="24"/>
          <w:szCs w:val="24"/>
        </w:rPr>
      </w:pPr>
      <w:r>
        <w:rPr>
          <w:rFonts w:hint="eastAsia"/>
          <w:sz w:val="24"/>
          <w:szCs w:val="24"/>
        </w:rPr>
        <w:t>工程</w:t>
      </w:r>
      <w:r>
        <w:rPr>
          <w:rFonts w:hint="eastAsia"/>
          <w:sz w:val="24"/>
          <w:szCs w:val="28"/>
        </w:rPr>
        <w:t>咨询机构</w:t>
      </w:r>
      <w:r>
        <w:rPr>
          <w:rFonts w:hint="eastAsia"/>
          <w:sz w:val="24"/>
          <w:szCs w:val="24"/>
        </w:rPr>
        <w:t>应分阶段编制工程勘察任务书，并在各阶段勘察任务书中明确项目概况、勘察任务及依据、主要勘察技术要求、勘察成果编制及深度要求等内容。</w:t>
      </w:r>
    </w:p>
    <w:p w14:paraId="10288FD3">
      <w:pPr>
        <w:adjustRightInd w:val="0"/>
        <w:snapToGrid w:val="0"/>
        <w:spacing w:line="360" w:lineRule="auto"/>
        <w:ind w:firstLine="480" w:firstLineChars="200"/>
        <w:rPr>
          <w:sz w:val="24"/>
          <w:szCs w:val="24"/>
        </w:rPr>
      </w:pPr>
      <w:r>
        <w:rPr>
          <w:rFonts w:hint="eastAsia"/>
          <w:sz w:val="24"/>
          <w:szCs w:val="24"/>
        </w:rPr>
        <w:t>设计及施工阶段均涉及与工程勘察相关的技术协调与配合工作，故要求勘察管理覆盖项目建设全过程。</w:t>
      </w:r>
    </w:p>
    <w:p w14:paraId="57CFBE82">
      <w:pPr>
        <w:adjustRightInd w:val="0"/>
        <w:snapToGrid w:val="0"/>
        <w:spacing w:line="360" w:lineRule="auto"/>
        <w:ind w:firstLine="480" w:firstLineChars="200"/>
        <w:rPr>
          <w:sz w:val="24"/>
          <w:szCs w:val="24"/>
        </w:rPr>
      </w:pPr>
      <w:r>
        <w:rPr>
          <w:rFonts w:hint="eastAsia"/>
          <w:sz w:val="24"/>
          <w:szCs w:val="24"/>
        </w:rPr>
        <w:t>5.3.2 除场地条件复杂的工程，有以下情形时宜组织施工补勘：</w:t>
      </w:r>
    </w:p>
    <w:p w14:paraId="57CC76C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基槽开挖后，地质条件与原勘察资料出现不统一、不符合，有可能做较大的设计修改时；</w:t>
      </w:r>
    </w:p>
    <w:p w14:paraId="59F5FCF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研究地基处理、加固方案，需进行设计和检验工作时；</w:t>
      </w:r>
    </w:p>
    <w:p w14:paraId="4CF7A5C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需进一步查明及处理地基中的不良地质作用时；</w:t>
      </w:r>
    </w:p>
    <w:p w14:paraId="539F35F4">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施工过程中出现了边坡失稳等地质问题，需进行观察及处理时。</w:t>
      </w:r>
    </w:p>
    <w:p w14:paraId="19FA38AD">
      <w:pPr>
        <w:adjustRightInd w:val="0"/>
        <w:snapToGrid w:val="0"/>
        <w:spacing w:line="360" w:lineRule="auto"/>
        <w:ind w:firstLine="480" w:firstLineChars="200"/>
        <w:rPr>
          <w:sz w:val="24"/>
          <w:szCs w:val="24"/>
        </w:rPr>
      </w:pPr>
      <w:r>
        <w:rPr>
          <w:rFonts w:hint="eastAsia"/>
          <w:sz w:val="24"/>
          <w:szCs w:val="24"/>
        </w:rPr>
        <w:t>5.3.3</w:t>
      </w:r>
    </w:p>
    <w:p w14:paraId="0093835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设计任务委托前，应对项目设计组织模式、各设计单位的服务阶段及服务内容予以策划，避免设计内容的缺项漏项。多单位参与的设计内容，应在任务书中划分各参与单位的职责与界面。如需设计提供施工阶段驻场服务，应在此阶段提前策划，并在设计合同中予以明确。</w:t>
      </w:r>
    </w:p>
    <w:p w14:paraId="3B346C15">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设计进度计划可分为设计全景进度计划、分阶段设计进度计划、分专业设计进度计划、专项设计进度计划等。设计进度编制应合理且可实施，并与报批报建、招采、施工进度搭接有序。</w:t>
      </w:r>
    </w:p>
    <w:p w14:paraId="087FD090">
      <w:pPr>
        <w:adjustRightInd w:val="0"/>
        <w:snapToGrid w:val="0"/>
        <w:spacing w:line="360" w:lineRule="auto"/>
        <w:ind w:firstLine="480" w:firstLineChars="200"/>
        <w:rPr>
          <w:sz w:val="24"/>
          <w:szCs w:val="24"/>
        </w:rPr>
      </w:pPr>
      <w:r>
        <w:rPr>
          <w:rFonts w:hint="eastAsia"/>
          <w:sz w:val="24"/>
          <w:szCs w:val="24"/>
        </w:rPr>
        <w:t xml:space="preserve">5.3.5 </w:t>
      </w:r>
    </w:p>
    <w:p w14:paraId="688F3A1D">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通常把除总图/工艺、建筑、结构、机电的专业均纳入专项设计的范畴，常规包含幕墙、景观、精装、泛光、标识、BIM等专项。对涉及特殊工艺、特殊功能的建筑，专项设计还应包括声学、医疗、舞台等功能工艺专项咨询。</w:t>
      </w:r>
    </w:p>
    <w:p w14:paraId="59B565C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幕墙、精装、泛光、景观等与外观效果相关的专业常涉及设计阶段的选样与封样。</w:t>
      </w:r>
    </w:p>
    <w:p w14:paraId="1F0EEED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6  工程</w:t>
      </w:r>
      <w:r>
        <w:rPr>
          <w:rFonts w:hint="eastAsia"/>
          <w:sz w:val="24"/>
          <w:szCs w:val="28"/>
        </w:rPr>
        <w:t>咨询机构</w:t>
      </w:r>
      <w:r>
        <w:rPr>
          <w:rFonts w:hint="eastAsia" w:ascii="Calibri" w:hAnsi="Calibri" w:cs="Calibri"/>
          <w:bCs/>
          <w:sz w:val="24"/>
          <w:szCs w:val="24"/>
          <w:lang w:val="en-US"/>
        </w:rPr>
        <w:t>宜从功能需求、技术可行性、经济合理性等角度对各阶段设计成果进行审核，并编制审核报告。</w:t>
      </w:r>
    </w:p>
    <w:p w14:paraId="2D47F3A9">
      <w:pPr>
        <w:spacing w:line="360" w:lineRule="auto"/>
        <w:ind w:left="420" w:leftChars="200"/>
        <w:outlineLvl w:val="1"/>
        <w:rPr>
          <w:b/>
          <w:bCs/>
          <w:sz w:val="28"/>
          <w:szCs w:val="32"/>
        </w:rPr>
      </w:pPr>
      <w:bookmarkStart w:id="52" w:name="_Toc190875449"/>
      <w:r>
        <w:rPr>
          <w:rFonts w:hint="eastAsia"/>
          <w:b/>
          <w:bCs/>
          <w:sz w:val="28"/>
          <w:szCs w:val="32"/>
        </w:rPr>
        <w:t>5</w:t>
      </w:r>
      <w:r>
        <w:rPr>
          <w:b/>
          <w:bCs/>
          <w:sz w:val="28"/>
          <w:szCs w:val="32"/>
        </w:rPr>
        <w:t>.</w:t>
      </w:r>
      <w:r>
        <w:rPr>
          <w:rFonts w:hint="eastAsia"/>
          <w:b/>
          <w:bCs/>
          <w:sz w:val="28"/>
          <w:szCs w:val="32"/>
        </w:rPr>
        <w:t>4</w:t>
      </w:r>
      <w:r>
        <w:rPr>
          <w:b/>
          <w:bCs/>
          <w:sz w:val="28"/>
          <w:szCs w:val="32"/>
        </w:rPr>
        <w:t xml:space="preserve"> </w:t>
      </w:r>
      <w:r>
        <w:rPr>
          <w:rFonts w:hint="eastAsia"/>
          <w:b/>
          <w:bCs/>
          <w:sz w:val="28"/>
          <w:szCs w:val="32"/>
        </w:rPr>
        <w:t>工程采购咨询</w:t>
      </w:r>
      <w:bookmarkEnd w:id="52"/>
    </w:p>
    <w:p w14:paraId="19846A9F">
      <w:pPr>
        <w:adjustRightInd w:val="0"/>
        <w:snapToGrid w:val="0"/>
        <w:spacing w:line="360" w:lineRule="auto"/>
        <w:ind w:firstLine="480" w:firstLineChars="200"/>
        <w:rPr>
          <w:sz w:val="24"/>
          <w:szCs w:val="24"/>
        </w:rPr>
      </w:pPr>
      <w:r>
        <w:rPr>
          <w:rFonts w:hint="eastAsia"/>
          <w:sz w:val="24"/>
          <w:szCs w:val="24"/>
        </w:rPr>
        <w:t>5.4.2 在实践中，“合约规划”有时也称为“合约分判”或其他叫法，但其内容主要是指对项目的合同架构、标段划分、合同界面、管理关系等。工作界面，通常包含具体工程（实物）界面、管理（任务）界面，工程</w:t>
      </w:r>
      <w:r>
        <w:rPr>
          <w:rFonts w:hint="eastAsia"/>
          <w:sz w:val="24"/>
          <w:szCs w:val="28"/>
        </w:rPr>
        <w:t>咨询机构</w:t>
      </w:r>
      <w:r>
        <w:rPr>
          <w:rFonts w:hint="eastAsia"/>
          <w:sz w:val="24"/>
          <w:szCs w:val="24"/>
        </w:rPr>
        <w:t>应组织进行统筹策划和管理。</w:t>
      </w:r>
    </w:p>
    <w:p w14:paraId="55CBC0A2">
      <w:pPr>
        <w:spacing w:line="360" w:lineRule="auto"/>
        <w:ind w:left="420" w:leftChars="200"/>
        <w:outlineLvl w:val="1"/>
        <w:rPr>
          <w:b/>
          <w:bCs/>
          <w:sz w:val="28"/>
          <w:szCs w:val="32"/>
        </w:rPr>
      </w:pPr>
      <w:bookmarkStart w:id="53" w:name="_Toc190875450"/>
      <w:r>
        <w:rPr>
          <w:rFonts w:hint="eastAsia"/>
          <w:b/>
          <w:bCs/>
          <w:sz w:val="28"/>
          <w:szCs w:val="32"/>
        </w:rPr>
        <w:t>5</w:t>
      </w:r>
      <w:r>
        <w:rPr>
          <w:b/>
          <w:bCs/>
          <w:sz w:val="28"/>
          <w:szCs w:val="32"/>
        </w:rPr>
        <w:t>.</w:t>
      </w:r>
      <w:r>
        <w:rPr>
          <w:rFonts w:hint="eastAsia"/>
          <w:b/>
          <w:bCs/>
          <w:sz w:val="28"/>
          <w:szCs w:val="32"/>
        </w:rPr>
        <w:t>5</w:t>
      </w:r>
      <w:r>
        <w:rPr>
          <w:b/>
          <w:bCs/>
          <w:sz w:val="28"/>
          <w:szCs w:val="32"/>
        </w:rPr>
        <w:t xml:space="preserve"> </w:t>
      </w:r>
      <w:r>
        <w:rPr>
          <w:rFonts w:hint="eastAsia"/>
          <w:b/>
          <w:bCs/>
          <w:sz w:val="28"/>
          <w:szCs w:val="32"/>
        </w:rPr>
        <w:t>工程监理</w:t>
      </w:r>
      <w:bookmarkEnd w:id="53"/>
    </w:p>
    <w:p w14:paraId="02DBC676">
      <w:pPr>
        <w:adjustRightInd w:val="0"/>
        <w:snapToGrid w:val="0"/>
        <w:spacing w:line="360" w:lineRule="auto"/>
        <w:ind w:firstLine="480" w:firstLineChars="200"/>
        <w:rPr>
          <w:sz w:val="24"/>
          <w:szCs w:val="24"/>
        </w:rPr>
      </w:pPr>
      <w:r>
        <w:rPr>
          <w:rFonts w:hint="eastAsia"/>
          <w:sz w:val="24"/>
          <w:szCs w:val="24"/>
        </w:rPr>
        <w:t>5.5.3 在实践中，全过程工程咨询项目中的项目总负责人和总监理工程师通常不会由同一人兼任。总监理工程师一方面需领导工程监理部，依法依规履行合同约定的监理职责，但同时需接受项目总负责人的统筹协调，并与其他专项工程咨询部门保持良好的协调与合作。</w:t>
      </w:r>
    </w:p>
    <w:p w14:paraId="06CC3443">
      <w:pPr>
        <w:widowControl/>
        <w:jc w:val="left"/>
        <w:rPr>
          <w:b/>
          <w:bCs/>
          <w:sz w:val="28"/>
          <w:szCs w:val="32"/>
        </w:rPr>
      </w:pPr>
      <w:r>
        <w:rPr>
          <w:b/>
          <w:bCs/>
          <w:sz w:val="28"/>
          <w:szCs w:val="32"/>
        </w:rPr>
        <w:br w:type="page"/>
      </w:r>
    </w:p>
    <w:p w14:paraId="775EC1C9">
      <w:pPr>
        <w:adjustRightInd w:val="0"/>
        <w:snapToGrid w:val="0"/>
        <w:spacing w:line="360" w:lineRule="auto"/>
        <w:outlineLvl w:val="0"/>
        <w:rPr>
          <w:b/>
          <w:bCs/>
          <w:sz w:val="28"/>
          <w:szCs w:val="32"/>
        </w:rPr>
      </w:pPr>
      <w:bookmarkStart w:id="54" w:name="_Toc190875451"/>
      <w:r>
        <w:rPr>
          <w:rFonts w:hint="eastAsia"/>
          <w:b/>
          <w:bCs/>
          <w:sz w:val="28"/>
          <w:szCs w:val="32"/>
        </w:rPr>
        <w:t>6</w:t>
      </w:r>
      <w:r>
        <w:rPr>
          <w:b/>
          <w:bCs/>
          <w:sz w:val="28"/>
          <w:szCs w:val="32"/>
        </w:rPr>
        <w:t xml:space="preserve"> </w:t>
      </w:r>
      <w:r>
        <w:rPr>
          <w:rFonts w:hint="eastAsia"/>
          <w:b/>
          <w:bCs/>
          <w:sz w:val="28"/>
          <w:szCs w:val="32"/>
        </w:rPr>
        <w:t>专项咨询</w:t>
      </w:r>
      <w:bookmarkEnd w:id="54"/>
    </w:p>
    <w:p w14:paraId="70706D04">
      <w:pPr>
        <w:adjustRightInd w:val="0"/>
        <w:snapToGrid w:val="0"/>
        <w:spacing w:line="360" w:lineRule="auto"/>
        <w:ind w:left="420" w:leftChars="200"/>
        <w:outlineLvl w:val="1"/>
        <w:rPr>
          <w:b/>
          <w:bCs/>
          <w:sz w:val="28"/>
          <w:szCs w:val="32"/>
        </w:rPr>
      </w:pPr>
      <w:bookmarkStart w:id="55" w:name="_Toc190875452"/>
      <w:r>
        <w:rPr>
          <w:rFonts w:hint="eastAsia"/>
          <w:b/>
          <w:bCs/>
          <w:sz w:val="28"/>
          <w:szCs w:val="32"/>
        </w:rPr>
        <w:t>6</w:t>
      </w:r>
      <w:r>
        <w:rPr>
          <w:b/>
          <w:bCs/>
          <w:sz w:val="28"/>
          <w:szCs w:val="32"/>
        </w:rPr>
        <w:t xml:space="preserve">.2 </w:t>
      </w:r>
      <w:r>
        <w:rPr>
          <w:rFonts w:hint="eastAsia"/>
          <w:b/>
          <w:bCs/>
          <w:sz w:val="28"/>
          <w:szCs w:val="32"/>
        </w:rPr>
        <w:t>项目融资咨询</w:t>
      </w:r>
      <w:bookmarkEnd w:id="55"/>
    </w:p>
    <w:p w14:paraId="40871564">
      <w:pPr>
        <w:adjustRightInd w:val="0"/>
        <w:snapToGrid w:val="0"/>
        <w:spacing w:line="360" w:lineRule="auto"/>
        <w:ind w:firstLine="480" w:firstLineChars="200"/>
        <w:rPr>
          <w:sz w:val="24"/>
          <w:szCs w:val="24"/>
        </w:rPr>
      </w:pPr>
      <w:r>
        <w:rPr>
          <w:rFonts w:hint="eastAsia"/>
          <w:sz w:val="24"/>
          <w:szCs w:val="24"/>
        </w:rPr>
        <w:t>6.2.1 常见的项目融资模式包括银行贷款、债券、基金、资产证券化、保理、信托等。</w:t>
      </w:r>
    </w:p>
    <w:p w14:paraId="2E39E876">
      <w:pPr>
        <w:adjustRightInd w:val="0"/>
        <w:snapToGrid w:val="0"/>
        <w:spacing w:line="360" w:lineRule="auto"/>
        <w:ind w:firstLine="480" w:firstLineChars="200"/>
        <w:rPr>
          <w:sz w:val="24"/>
          <w:szCs w:val="24"/>
        </w:rPr>
      </w:pPr>
      <w:r>
        <w:rPr>
          <w:rFonts w:hint="eastAsia"/>
          <w:sz w:val="24"/>
          <w:szCs w:val="24"/>
        </w:rPr>
        <w:t>6</w:t>
      </w:r>
      <w:r>
        <w:rPr>
          <w:sz w:val="24"/>
          <w:szCs w:val="24"/>
        </w:rPr>
        <w:t xml:space="preserve">.2.2 </w:t>
      </w:r>
      <w:r>
        <w:rPr>
          <w:rFonts w:hint="eastAsia"/>
          <w:sz w:val="24"/>
          <w:szCs w:val="24"/>
        </w:rPr>
        <w:t>项目融资咨询应依据有关法律法规及行业标准进行，并应符合相关产业、土地、金融、财税、保险、环保和投资管理等政策要求。</w:t>
      </w:r>
    </w:p>
    <w:p w14:paraId="209BE806">
      <w:pPr>
        <w:adjustRightInd w:val="0"/>
        <w:snapToGrid w:val="0"/>
        <w:spacing w:line="360" w:lineRule="auto"/>
        <w:ind w:firstLine="480" w:firstLineChars="200"/>
        <w:rPr>
          <w:sz w:val="24"/>
          <w:szCs w:val="24"/>
        </w:rPr>
      </w:pPr>
      <w:r>
        <w:rPr>
          <w:rFonts w:hint="eastAsia"/>
          <w:sz w:val="24"/>
          <w:szCs w:val="24"/>
        </w:rPr>
        <w:t>6.2.3 项目融资方案确定后，项目融资咨询组需要有选择地向银行或金融机构发出项目融资建议书，并组织委托人与投资机构沟通协商，不断优化和完善融资方案；在融资谈判阶段，项目融资咨询组向投资机构提供项目资料及融资可行性研究报告；银行或金融机构经过现场考察、尽职调查及多轮谈判后，与委托人共同起草融资有关文件；同时委托人还需要按照投资机构的要求签署有关融资协议、担保协议等文件；整个过程需要经过多次的反复谈判和协商，既能在最大限度上保护委托人的利益，又能为投资机构所接受。</w:t>
      </w:r>
    </w:p>
    <w:p w14:paraId="67489FAF">
      <w:pPr>
        <w:spacing w:line="360" w:lineRule="auto"/>
        <w:ind w:left="420" w:leftChars="200"/>
        <w:outlineLvl w:val="1"/>
        <w:rPr>
          <w:b/>
          <w:bCs/>
          <w:sz w:val="28"/>
          <w:szCs w:val="32"/>
        </w:rPr>
      </w:pPr>
      <w:bookmarkStart w:id="56" w:name="_Toc190875453"/>
      <w:r>
        <w:rPr>
          <w:b/>
          <w:bCs/>
          <w:sz w:val="28"/>
          <w:szCs w:val="32"/>
        </w:rPr>
        <w:t>6.</w:t>
      </w:r>
      <w:r>
        <w:rPr>
          <w:rFonts w:hint="eastAsia"/>
          <w:b/>
          <w:bCs/>
          <w:sz w:val="28"/>
          <w:szCs w:val="32"/>
        </w:rPr>
        <w:t>3</w:t>
      </w:r>
      <w:r>
        <w:rPr>
          <w:b/>
          <w:bCs/>
          <w:sz w:val="28"/>
          <w:szCs w:val="32"/>
        </w:rPr>
        <w:t xml:space="preserve"> </w:t>
      </w:r>
      <w:r>
        <w:rPr>
          <w:rFonts w:hint="eastAsia"/>
          <w:b/>
          <w:bCs/>
          <w:sz w:val="28"/>
          <w:szCs w:val="32"/>
        </w:rPr>
        <w:t>工程造价咨询</w:t>
      </w:r>
      <w:bookmarkEnd w:id="56"/>
    </w:p>
    <w:p w14:paraId="6822F608">
      <w:pPr>
        <w:adjustRightInd w:val="0"/>
        <w:snapToGrid w:val="0"/>
        <w:spacing w:line="360" w:lineRule="auto"/>
        <w:ind w:firstLine="480" w:firstLineChars="200"/>
        <w:rPr>
          <w:sz w:val="24"/>
          <w:szCs w:val="24"/>
        </w:rPr>
      </w:pPr>
      <w:r>
        <w:rPr>
          <w:rFonts w:hint="eastAsia"/>
          <w:sz w:val="24"/>
          <w:szCs w:val="24"/>
        </w:rPr>
        <w:t>6.3.1 在实践中，由于“全过程工程咨询”委托方式和委托范围的差异性，本条所述工程造价咨询的各专项咨询内容可能包含在工程</w:t>
      </w:r>
      <w:r>
        <w:rPr>
          <w:rFonts w:hint="eastAsia"/>
          <w:sz w:val="24"/>
          <w:szCs w:val="28"/>
        </w:rPr>
        <w:t>咨询机构</w:t>
      </w:r>
      <w:r>
        <w:rPr>
          <w:rFonts w:hint="eastAsia"/>
          <w:sz w:val="24"/>
          <w:szCs w:val="24"/>
        </w:rPr>
        <w:t>的“全过程工程咨询”服务范围和内容之中，也可能由其他专项咨询单位实施。工程</w:t>
      </w:r>
      <w:r>
        <w:rPr>
          <w:rFonts w:hint="eastAsia"/>
          <w:sz w:val="24"/>
          <w:szCs w:val="28"/>
        </w:rPr>
        <w:t>咨询机构</w:t>
      </w:r>
      <w:r>
        <w:rPr>
          <w:rFonts w:hint="eastAsia"/>
          <w:sz w:val="24"/>
          <w:szCs w:val="24"/>
        </w:rPr>
        <w:t>应根据合同约定，对自身和其他咨询单位承担的工程造价咨询工作进行统筹管理。</w:t>
      </w:r>
    </w:p>
    <w:p w14:paraId="65E00399">
      <w:pPr>
        <w:adjustRightInd w:val="0"/>
        <w:snapToGrid w:val="0"/>
        <w:spacing w:line="360" w:lineRule="auto"/>
        <w:ind w:left="420" w:leftChars="200"/>
        <w:outlineLvl w:val="1"/>
        <w:rPr>
          <w:b/>
          <w:bCs/>
          <w:sz w:val="28"/>
          <w:szCs w:val="32"/>
        </w:rPr>
      </w:pPr>
      <w:bookmarkStart w:id="57" w:name="_Toc190875454"/>
      <w:r>
        <w:rPr>
          <w:rFonts w:hint="eastAsia"/>
          <w:b/>
          <w:bCs/>
          <w:sz w:val="28"/>
          <w:szCs w:val="32"/>
        </w:rPr>
        <w:t>6.4 建筑节能与绿色建筑咨询</w:t>
      </w:r>
      <w:bookmarkEnd w:id="57"/>
    </w:p>
    <w:p w14:paraId="5DF6FDBD">
      <w:pPr>
        <w:adjustRightInd w:val="0"/>
        <w:snapToGrid w:val="0"/>
        <w:spacing w:line="360" w:lineRule="auto"/>
        <w:ind w:firstLine="480" w:firstLineChars="200"/>
        <w:rPr>
          <w:sz w:val="24"/>
          <w:szCs w:val="24"/>
        </w:rPr>
      </w:pPr>
      <w:r>
        <w:rPr>
          <w:rFonts w:hint="eastAsia"/>
          <w:sz w:val="24"/>
          <w:szCs w:val="24"/>
        </w:rPr>
        <w:t>6.4.1 绿色节能与绿色建筑咨询应当注意咨询服务的一体性。在招投标过程中，要注意对绿色建筑的服务供应商以及材料采购的控制。在施工过程中，要注意环境场地的控制、废弃物的循环利用、建筑材料的环保性以及施工工艺的控制。在竣工阶段，通过组织开展机电的调控以及对环境的专业测评，达到设计标准，满足设计目标需求。</w:t>
      </w:r>
    </w:p>
    <w:p w14:paraId="6B4D63BD">
      <w:pPr>
        <w:overflowPunct w:val="0"/>
        <w:spacing w:line="360" w:lineRule="auto"/>
        <w:ind w:firstLine="480" w:firstLineChars="200"/>
        <w:rPr>
          <w:rFonts w:ascii="Times New Roman" w:hAnsi="Times New Roman"/>
          <w:sz w:val="24"/>
        </w:rPr>
      </w:pPr>
      <w:r>
        <w:rPr>
          <w:rFonts w:hint="eastAsia" w:ascii="Times New Roman" w:hAnsi="Times New Roman"/>
          <w:sz w:val="24"/>
        </w:rPr>
        <w:t>6.4.3</w:t>
      </w:r>
      <w:r>
        <w:rPr>
          <w:rFonts w:ascii="Times New Roman" w:hAnsi="Times New Roman"/>
          <w:sz w:val="24"/>
        </w:rPr>
        <w:t xml:space="preserve"> </w:t>
      </w:r>
      <w:r>
        <w:rPr>
          <w:rFonts w:hint="eastAsia" w:ascii="Times New Roman" w:hAnsi="Times New Roman"/>
          <w:sz w:val="24"/>
        </w:rPr>
        <w:t>固定资产投资项目节能评估主要内容应包括分析评价依据；项目建设方案的节能分析和比选；选取节能效果好、技术经济可行的节能技术和管理措施；项目能源消费量、能源消费结构、能源效率等方面的分析；对所在地完成能源消耗总量和强度目标、煤炭消费减量替代目标的影响等方面的分析评价等。</w:t>
      </w:r>
    </w:p>
    <w:p w14:paraId="677130D9">
      <w:pPr>
        <w:adjustRightInd w:val="0"/>
        <w:snapToGrid w:val="0"/>
        <w:spacing w:line="360" w:lineRule="auto"/>
        <w:ind w:firstLine="480" w:firstLineChars="200"/>
        <w:rPr>
          <w:sz w:val="24"/>
          <w:szCs w:val="24"/>
        </w:rPr>
      </w:pPr>
      <w:r>
        <w:rPr>
          <w:rFonts w:hint="eastAsia"/>
          <w:sz w:val="24"/>
          <w:szCs w:val="24"/>
        </w:rPr>
        <w:t>6.4.5 在优化设计完成后，需要进行优化设计预评价，提交的成果文件包括设计预评价证书、申报书、预评价报告等完整申报资料。</w:t>
      </w:r>
    </w:p>
    <w:p w14:paraId="7C6BD1F7">
      <w:pPr>
        <w:adjustRightInd w:val="0"/>
        <w:snapToGrid w:val="0"/>
        <w:spacing w:line="360" w:lineRule="auto"/>
        <w:ind w:firstLine="480" w:firstLineChars="200"/>
        <w:rPr>
          <w:sz w:val="24"/>
          <w:szCs w:val="24"/>
        </w:rPr>
      </w:pPr>
      <w:r>
        <w:rPr>
          <w:rFonts w:hint="eastAsia"/>
          <w:sz w:val="24"/>
          <w:szCs w:val="24"/>
        </w:rPr>
        <w:t>6.4.8 监控平台可结合楼宇自控、能耗监测、大数据等新兴技术，并建立绿色建筑运营后评估反馈机制，提高绿色建筑管理水平。</w:t>
      </w:r>
    </w:p>
    <w:p w14:paraId="4F62E877">
      <w:pPr>
        <w:adjustRightInd w:val="0"/>
        <w:snapToGrid w:val="0"/>
        <w:spacing w:line="360" w:lineRule="auto"/>
        <w:ind w:firstLine="480" w:firstLineChars="200"/>
        <w:rPr>
          <w:sz w:val="24"/>
          <w:szCs w:val="24"/>
        </w:rPr>
      </w:pPr>
      <w:r>
        <w:rPr>
          <w:rFonts w:hint="eastAsia"/>
          <w:sz w:val="24"/>
          <w:szCs w:val="24"/>
        </w:rPr>
        <w:t>6.4.9 绿色建筑咨询应包括下列内容：</w:t>
      </w:r>
    </w:p>
    <w:p w14:paraId="207D014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前期策划咨询；</w:t>
      </w:r>
    </w:p>
    <w:p w14:paraId="76A62D9F">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绿色设计咨询；</w:t>
      </w:r>
    </w:p>
    <w:p w14:paraId="6031152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  绿色施工咨询；</w:t>
      </w:r>
    </w:p>
    <w:p w14:paraId="5604BA9A">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招标采购咨询；</w:t>
      </w:r>
    </w:p>
    <w:p w14:paraId="0E778C73">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5  绿色建筑申报咨询。</w:t>
      </w:r>
    </w:p>
    <w:p w14:paraId="432F9CAA">
      <w:pPr>
        <w:adjustRightInd w:val="0"/>
        <w:snapToGrid w:val="0"/>
        <w:spacing w:line="360" w:lineRule="auto"/>
        <w:ind w:left="420" w:leftChars="200"/>
        <w:outlineLvl w:val="1"/>
        <w:rPr>
          <w:b/>
          <w:bCs/>
          <w:sz w:val="28"/>
          <w:szCs w:val="32"/>
        </w:rPr>
      </w:pPr>
      <w:bookmarkStart w:id="58" w:name="_Toc190875455"/>
      <w:r>
        <w:rPr>
          <w:rFonts w:hint="eastAsia"/>
          <w:b/>
          <w:bCs/>
          <w:sz w:val="28"/>
          <w:szCs w:val="32"/>
        </w:rPr>
        <w:t>6.5</w:t>
      </w:r>
      <w:r>
        <w:rPr>
          <w:b/>
          <w:bCs/>
          <w:sz w:val="28"/>
          <w:szCs w:val="32"/>
        </w:rPr>
        <w:t xml:space="preserve"> </w:t>
      </w:r>
      <w:r>
        <w:rPr>
          <w:rFonts w:hint="eastAsia"/>
          <w:b/>
          <w:bCs/>
          <w:sz w:val="28"/>
          <w:szCs w:val="32"/>
        </w:rPr>
        <w:t>信息技术咨询</w:t>
      </w:r>
      <w:bookmarkEnd w:id="58"/>
    </w:p>
    <w:p w14:paraId="7420148B">
      <w:pPr>
        <w:adjustRightInd w:val="0"/>
        <w:snapToGrid w:val="0"/>
        <w:spacing w:line="360" w:lineRule="auto"/>
        <w:ind w:firstLine="480" w:firstLineChars="200"/>
        <w:rPr>
          <w:sz w:val="24"/>
          <w:szCs w:val="24"/>
        </w:rPr>
      </w:pPr>
      <w:r>
        <w:rPr>
          <w:rFonts w:hint="eastAsia"/>
          <w:sz w:val="24"/>
          <w:szCs w:val="24"/>
        </w:rPr>
        <w:t>6.5.4 建筑信息模型技术集成应用宜覆盖项目决策、实施和运营全过程，也可在项目局部应用。</w:t>
      </w:r>
    </w:p>
    <w:p w14:paraId="4192F728">
      <w:pPr>
        <w:adjustRightInd w:val="0"/>
        <w:snapToGrid w:val="0"/>
        <w:spacing w:line="360" w:lineRule="auto"/>
        <w:ind w:firstLine="480" w:firstLineChars="200"/>
        <w:rPr>
          <w:sz w:val="24"/>
          <w:szCs w:val="24"/>
        </w:rPr>
      </w:pPr>
      <w:r>
        <w:rPr>
          <w:rFonts w:hint="eastAsia"/>
          <w:sz w:val="24"/>
          <w:szCs w:val="24"/>
        </w:rPr>
        <w:t>6.5.8 应将整个建设工程项目过程的全部资料形成完整的电子档案，作为企业的数字资产在云端或本地服务器进行存储、备份，通过数据积累，完善工作内容设置及固化表单，形成项目模板。</w:t>
      </w:r>
    </w:p>
    <w:p w14:paraId="65033908">
      <w:pPr>
        <w:adjustRightInd w:val="0"/>
        <w:snapToGrid w:val="0"/>
        <w:spacing w:line="360" w:lineRule="auto"/>
        <w:ind w:firstLine="480" w:firstLineChars="200"/>
        <w:rPr>
          <w:sz w:val="24"/>
          <w:szCs w:val="24"/>
        </w:rPr>
      </w:pPr>
      <w:r>
        <w:rPr>
          <w:rFonts w:hint="eastAsia"/>
          <w:sz w:val="24"/>
          <w:szCs w:val="24"/>
        </w:rPr>
        <w:t>6.5.9 工程</w:t>
      </w:r>
      <w:r>
        <w:rPr>
          <w:rFonts w:hint="eastAsia"/>
          <w:sz w:val="24"/>
          <w:szCs w:val="28"/>
        </w:rPr>
        <w:t>咨询机构</w:t>
      </w:r>
      <w:r>
        <w:rPr>
          <w:rFonts w:hint="eastAsia"/>
          <w:sz w:val="24"/>
          <w:szCs w:val="24"/>
        </w:rPr>
        <w:t>选择运维阶段信息系统时需要考虑以下因素：</w:t>
      </w:r>
    </w:p>
    <w:p w14:paraId="47AFCAF6">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 明确组织整体需求。</w:t>
      </w:r>
    </w:p>
    <w:p w14:paraId="3E0A1E27">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 符合现代设施管理标准。</w:t>
      </w:r>
    </w:p>
    <w:p w14:paraId="25338F64">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3 </w:t>
      </w:r>
      <w:r>
        <w:rPr>
          <w:rFonts w:hint="eastAsia" w:ascii="Calibri" w:hAnsi="Calibri" w:cs="Calibri"/>
          <w:bCs/>
          <w:sz w:val="24"/>
          <w:szCs w:val="24"/>
          <w:lang w:val="en-US"/>
        </w:rPr>
        <w:t>关注系统成熟性与开放性。</w:t>
      </w:r>
    </w:p>
    <w:p w14:paraId="4610C545">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 选择合适的软件供应商。</w:t>
      </w:r>
    </w:p>
    <w:p w14:paraId="0C6CCF05">
      <w:pPr>
        <w:pStyle w:val="2"/>
        <w:spacing w:before="0" w:line="360" w:lineRule="auto"/>
        <w:ind w:left="420" w:leftChars="200" w:firstLine="480" w:firstLineChars="200"/>
        <w:rPr>
          <w:rFonts w:ascii="Calibri" w:hAnsi="Calibri" w:cs="Calibri"/>
          <w:bCs/>
          <w:sz w:val="24"/>
          <w:szCs w:val="24"/>
          <w:lang w:val="en-US"/>
        </w:rPr>
      </w:pPr>
      <w:r>
        <w:rPr>
          <w:rFonts w:ascii="Calibri" w:hAnsi="Calibri" w:cs="Calibri"/>
          <w:bCs/>
          <w:sz w:val="24"/>
          <w:szCs w:val="24"/>
          <w:lang w:val="en-US"/>
        </w:rPr>
        <w:t xml:space="preserve">5 </w:t>
      </w:r>
      <w:r>
        <w:rPr>
          <w:rFonts w:hint="eastAsia" w:ascii="Calibri" w:hAnsi="Calibri" w:cs="Calibri"/>
          <w:bCs/>
          <w:sz w:val="24"/>
          <w:szCs w:val="24"/>
          <w:lang w:val="en-US"/>
        </w:rPr>
        <w:t>全面考量系统实施成本。</w:t>
      </w:r>
    </w:p>
    <w:p w14:paraId="046FFA76">
      <w:pPr>
        <w:adjustRightInd w:val="0"/>
        <w:snapToGrid w:val="0"/>
        <w:spacing w:line="360" w:lineRule="auto"/>
        <w:ind w:left="420" w:leftChars="200"/>
        <w:outlineLvl w:val="1"/>
        <w:rPr>
          <w:b/>
          <w:bCs/>
          <w:sz w:val="28"/>
          <w:szCs w:val="32"/>
        </w:rPr>
      </w:pPr>
      <w:bookmarkStart w:id="59" w:name="_Toc190875456"/>
      <w:r>
        <w:rPr>
          <w:rFonts w:hint="eastAsia"/>
          <w:b/>
          <w:bCs/>
          <w:sz w:val="28"/>
          <w:szCs w:val="32"/>
        </w:rPr>
        <w:t>6.6</w:t>
      </w:r>
      <w:r>
        <w:rPr>
          <w:b/>
          <w:bCs/>
          <w:sz w:val="28"/>
          <w:szCs w:val="32"/>
        </w:rPr>
        <w:t xml:space="preserve"> </w:t>
      </w:r>
      <w:r>
        <w:rPr>
          <w:rFonts w:hint="eastAsia"/>
          <w:b/>
          <w:bCs/>
          <w:sz w:val="28"/>
          <w:szCs w:val="32"/>
        </w:rPr>
        <w:t>工程保险咨询</w:t>
      </w:r>
      <w:bookmarkEnd w:id="59"/>
    </w:p>
    <w:p w14:paraId="23A7672B">
      <w:pPr>
        <w:adjustRightInd w:val="0"/>
        <w:snapToGrid w:val="0"/>
        <w:spacing w:line="360" w:lineRule="auto"/>
        <w:ind w:firstLine="480" w:firstLineChars="200"/>
        <w:rPr>
          <w:sz w:val="24"/>
          <w:szCs w:val="24"/>
        </w:rPr>
      </w:pPr>
      <w:r>
        <w:rPr>
          <w:rFonts w:hint="eastAsia"/>
          <w:sz w:val="24"/>
          <w:szCs w:val="24"/>
        </w:rPr>
        <w:t>6.6.1 工程保险有人身意外伤害险，职业责任险，建筑工程一切险，安装工程一切险，第三者责任险，工程质量缺陷保险等，工程</w:t>
      </w:r>
      <w:r>
        <w:rPr>
          <w:rFonts w:hint="eastAsia"/>
          <w:sz w:val="24"/>
          <w:szCs w:val="28"/>
        </w:rPr>
        <w:t>咨询机构</w:t>
      </w:r>
      <w:r>
        <w:rPr>
          <w:rFonts w:hint="eastAsia"/>
          <w:sz w:val="24"/>
          <w:szCs w:val="24"/>
        </w:rPr>
        <w:t>可以针对多项工程保险提供咨询服务，也可以针对某一特定工程保险提供咨询服务。</w:t>
      </w:r>
    </w:p>
    <w:p w14:paraId="108ABB00">
      <w:pPr>
        <w:adjustRightInd w:val="0"/>
        <w:snapToGrid w:val="0"/>
        <w:spacing w:line="360" w:lineRule="auto"/>
        <w:ind w:firstLine="480" w:firstLineChars="200"/>
        <w:rPr>
          <w:sz w:val="24"/>
          <w:szCs w:val="24"/>
        </w:rPr>
      </w:pPr>
      <w:r>
        <w:rPr>
          <w:rFonts w:hint="eastAsia"/>
          <w:sz w:val="24"/>
          <w:szCs w:val="24"/>
        </w:rPr>
        <w:t>6.6.5 工程保险索赔报告一般包括总论、索赔依据、索赔计算、索赔证据等内容。</w:t>
      </w:r>
    </w:p>
    <w:p w14:paraId="3534AE3E">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（1）总论：包括序言、索赔事项概述、具体索赔要求、索赔报告编写及审核人员名单等。</w:t>
      </w:r>
    </w:p>
    <w:p w14:paraId="410D56B1">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（2）索赔依据：包括索赔事件发生情况、已递交索赔意向通知书、索赔事件处理过程、索赔要求的合同根据及所附的证据资料等。</w:t>
      </w:r>
    </w:p>
    <w:p w14:paraId="37C399CB">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（3）索赔计算：主要包括具体计算方法和计算过程。</w:t>
      </w:r>
    </w:p>
    <w:p w14:paraId="65EFE440">
      <w:pPr>
        <w:pStyle w:val="2"/>
        <w:spacing w:before="0" w:line="360" w:lineRule="auto"/>
        <w:ind w:left="420" w:leftChars="200" w:firstLine="480" w:firstLineChars="200"/>
        <w:rPr>
          <w:rFonts w:ascii="Calibri" w:hAnsi="Calibri" w:cs="Calibri"/>
          <w:bCs/>
          <w:sz w:val="24"/>
          <w:szCs w:val="24"/>
          <w:lang w:val="en-US"/>
        </w:rPr>
      </w:pPr>
      <w:r>
        <w:rPr>
          <w:rFonts w:hint="eastAsia" w:ascii="Calibri" w:hAnsi="Calibri" w:cs="Calibri"/>
          <w:bCs/>
          <w:sz w:val="24"/>
          <w:szCs w:val="24"/>
          <w:lang w:val="en-US"/>
        </w:rPr>
        <w:t>（4）索赔证据：包括索赔事件所涉及的一切证据资料，以及对这些证据资料的说明等。</w:t>
      </w:r>
    </w:p>
    <w:p w14:paraId="08ED468C">
      <w:pPr>
        <w:adjustRightInd w:val="0"/>
        <w:snapToGrid w:val="0"/>
        <w:spacing w:line="360" w:lineRule="auto"/>
        <w:ind w:left="420" w:leftChars="200"/>
        <w:outlineLvl w:val="1"/>
        <w:rPr>
          <w:b/>
          <w:bCs/>
          <w:sz w:val="28"/>
          <w:szCs w:val="32"/>
        </w:rPr>
      </w:pPr>
      <w:bookmarkStart w:id="60" w:name="_Toc190875457"/>
      <w:r>
        <w:rPr>
          <w:rFonts w:hint="eastAsia"/>
          <w:b/>
          <w:bCs/>
          <w:sz w:val="28"/>
          <w:szCs w:val="32"/>
        </w:rPr>
        <w:t>6.7</w:t>
      </w:r>
      <w:r>
        <w:rPr>
          <w:b/>
          <w:bCs/>
          <w:sz w:val="28"/>
          <w:szCs w:val="32"/>
        </w:rPr>
        <w:t xml:space="preserve"> </w:t>
      </w:r>
      <w:r>
        <w:rPr>
          <w:rFonts w:hint="eastAsia"/>
          <w:b/>
          <w:bCs/>
          <w:sz w:val="28"/>
          <w:szCs w:val="32"/>
        </w:rPr>
        <w:t>ESG咨询</w:t>
      </w:r>
      <w:bookmarkEnd w:id="60"/>
    </w:p>
    <w:p w14:paraId="0F6B8021">
      <w:pPr>
        <w:tabs>
          <w:tab w:val="left" w:pos="1580"/>
        </w:tabs>
        <w:adjustRightInd w:val="0"/>
        <w:snapToGrid w:val="0"/>
        <w:spacing w:line="360" w:lineRule="auto"/>
        <w:ind w:firstLine="480" w:firstLineChars="200"/>
        <w:rPr>
          <w:sz w:val="24"/>
          <w:szCs w:val="28"/>
        </w:rPr>
      </w:pPr>
      <w:r>
        <w:rPr>
          <w:rFonts w:hint="eastAsia"/>
          <w:sz w:val="24"/>
          <w:szCs w:val="24"/>
        </w:rPr>
        <w:t>6.7.3</w:t>
      </w:r>
      <w:r>
        <w:rPr>
          <w:sz w:val="24"/>
          <w:szCs w:val="24"/>
        </w:rPr>
        <w:t>环境咨询应重点关注项目的碳排放、能源利用效率、污染物排放等关</w:t>
      </w:r>
      <w:r>
        <w:rPr>
          <w:sz w:val="24"/>
          <w:szCs w:val="28"/>
        </w:rPr>
        <w:t>键指标，提出针对性的绿色解决方案。</w:t>
      </w:r>
    </w:p>
    <w:p w14:paraId="113CC5C7">
      <w:pPr>
        <w:tabs>
          <w:tab w:val="left" w:pos="1580"/>
        </w:tabs>
        <w:adjustRightInd w:val="0"/>
        <w:snapToGrid w:val="0"/>
        <w:spacing w:line="360" w:lineRule="auto"/>
        <w:ind w:firstLine="480" w:firstLineChars="200"/>
        <w:rPr>
          <w:rFonts w:hint="eastAsia"/>
          <w:sz w:val="24"/>
          <w:szCs w:val="28"/>
        </w:rPr>
      </w:pPr>
      <w:r>
        <w:rPr>
          <w:rFonts w:hint="eastAsia"/>
          <w:sz w:val="24"/>
          <w:szCs w:val="28"/>
        </w:rPr>
        <w:t xml:space="preserve">6.7.6 </w:t>
      </w:r>
      <w:r>
        <w:rPr>
          <w:sz w:val="24"/>
          <w:szCs w:val="28"/>
        </w:rPr>
        <w:t>ESG绩效管理是实现项目可持续发展目标的重要手段，通过建立指标体系与监测机制，动态调整项目管理策略。</w:t>
      </w:r>
    </w:p>
    <w:p w14:paraId="05A91D41">
      <w:pPr>
        <w:tabs>
          <w:tab w:val="left" w:pos="1580"/>
        </w:tabs>
        <w:adjustRightInd w:val="0"/>
        <w:snapToGrid w:val="0"/>
        <w:spacing w:line="360" w:lineRule="auto"/>
        <w:ind w:firstLine="480" w:firstLineChars="200"/>
        <w:rPr>
          <w:sz w:val="24"/>
          <w:szCs w:val="28"/>
        </w:rPr>
      </w:pPr>
      <w:r>
        <w:rPr>
          <w:rFonts w:hint="eastAsia"/>
          <w:sz w:val="24"/>
          <w:szCs w:val="28"/>
        </w:rPr>
        <w:t xml:space="preserve">6.7.7 </w:t>
      </w:r>
      <w:r>
        <w:rPr>
          <w:sz w:val="24"/>
          <w:szCs w:val="28"/>
        </w:rPr>
        <w:t>ESG信息披露是提升项目透明度与社会信任的关键环节，应确保信息的真实、完整与及时。</w:t>
      </w:r>
    </w:p>
    <w:p w14:paraId="25EFA90F">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613C5">
    <w:pPr>
      <w:pStyle w:val="15"/>
      <w:jc w:val="center"/>
    </w:pPr>
    <w:r>
      <w:fldChar w:fldCharType="begin"/>
    </w:r>
    <w:r>
      <w:instrText xml:space="preserve">PAGE   \* MERGEFORMAT</w:instrText>
    </w:r>
    <w:r>
      <w:fldChar w:fldCharType="separate"/>
    </w:r>
    <w:r>
      <w:rPr>
        <w:lang w:val="zh-CN"/>
      </w:rP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EEB5F">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DA48">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ADD72">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E27BC">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EB44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90702"/>
    <w:multiLevelType w:val="multilevel"/>
    <w:tmpl w:val="33B90702"/>
    <w:lvl w:ilvl="0" w:tentative="0">
      <w:start w:val="2"/>
      <w:numFmt w:val="decimal"/>
      <w:lvlText w:val="%1"/>
      <w:lvlJc w:val="left"/>
      <w:pPr>
        <w:ind w:left="425" w:hanging="425"/>
      </w:pPr>
    </w:lvl>
    <w:lvl w:ilvl="1" w:tentative="0">
      <w:start w:val="0"/>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37F3350"/>
    <w:multiLevelType w:val="multilevel"/>
    <w:tmpl w:val="437F3350"/>
    <w:lvl w:ilvl="0" w:tentative="0">
      <w:start w:val="4"/>
      <w:numFmt w:val="decimal"/>
      <w:lvlText w:val="%1"/>
      <w:lvlJc w:val="left"/>
      <w:pPr>
        <w:ind w:left="425" w:hanging="425"/>
      </w:pPr>
    </w:lvl>
    <w:lvl w:ilvl="1" w:tentative="0">
      <w:start w:val="3"/>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lvlOverride w:ilvl="0">
      <w:lvl w:ilvl="0" w:tentative="1">
        <w:start w:val="2"/>
        <w:numFmt w:val="decimal"/>
        <w:lvlText w:val="%1"/>
        <w:lvlJc w:val="left"/>
        <w:pPr>
          <w:ind w:left="425" w:hanging="425"/>
        </w:pPr>
        <w:rPr>
          <w:rFonts w:hint="eastAsia"/>
        </w:rPr>
      </w:lvl>
    </w:lvlOverride>
    <w:lvlOverride w:ilvl="1">
      <w:lvl w:ilvl="1" w:tentative="1">
        <w:start w:val="0"/>
        <w:numFmt w:val="decimal"/>
        <w:lvlText w:val="%1.%2"/>
        <w:lvlJc w:val="left"/>
        <w:pPr>
          <w:ind w:left="992" w:hanging="567"/>
        </w:pPr>
        <w:rPr>
          <w:rFonts w:hint="eastAsia"/>
        </w:rPr>
      </w:lvl>
    </w:lvlOverride>
    <w:lvlOverride w:ilvl="2">
      <w:lvl w:ilvl="2" w:tentative="1">
        <w:start w:val="1"/>
        <w:numFmt w:val="decimal"/>
        <w:suff w:val="space"/>
        <w:lvlText w:val="%1.%2.%3"/>
        <w:lvlJc w:val="left"/>
        <w:pPr>
          <w:ind w:left="1418" w:hanging="567"/>
        </w:pPr>
        <w:rPr>
          <w:rFonts w:hint="default" w:ascii="Calibri" w:hAnsi="Calibri" w:cs="Calibri"/>
        </w:rPr>
      </w:lvl>
    </w:lvlOverride>
    <w:lvlOverride w:ilvl="3">
      <w:lvl w:ilvl="3" w:tentative="1">
        <w:start w:val="1"/>
        <w:numFmt w:val="decimal"/>
        <w:lvlText w:val="%1.%2.%3.%4"/>
        <w:lvlJc w:val="left"/>
        <w:pPr>
          <w:ind w:left="1984" w:hanging="708"/>
        </w:pPr>
        <w:rPr>
          <w:rFonts w:hint="eastAsia"/>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B81"/>
    <w:rsid w:val="000054FC"/>
    <w:rsid w:val="00014BA3"/>
    <w:rsid w:val="0002462E"/>
    <w:rsid w:val="00031298"/>
    <w:rsid w:val="0003597E"/>
    <w:rsid w:val="00050957"/>
    <w:rsid w:val="00052298"/>
    <w:rsid w:val="00052E15"/>
    <w:rsid w:val="00053CB2"/>
    <w:rsid w:val="00054CA6"/>
    <w:rsid w:val="000623F3"/>
    <w:rsid w:val="0006440D"/>
    <w:rsid w:val="00066C5A"/>
    <w:rsid w:val="00076C8C"/>
    <w:rsid w:val="0008104A"/>
    <w:rsid w:val="00084F37"/>
    <w:rsid w:val="00087223"/>
    <w:rsid w:val="00094E5F"/>
    <w:rsid w:val="0009590F"/>
    <w:rsid w:val="000A5063"/>
    <w:rsid w:val="000A5143"/>
    <w:rsid w:val="000A7578"/>
    <w:rsid w:val="000B25D9"/>
    <w:rsid w:val="000C0A24"/>
    <w:rsid w:val="000C32F8"/>
    <w:rsid w:val="000D457C"/>
    <w:rsid w:val="000F787F"/>
    <w:rsid w:val="001023A5"/>
    <w:rsid w:val="00103194"/>
    <w:rsid w:val="00104913"/>
    <w:rsid w:val="001065D1"/>
    <w:rsid w:val="00122FFB"/>
    <w:rsid w:val="001363E3"/>
    <w:rsid w:val="00144999"/>
    <w:rsid w:val="00154748"/>
    <w:rsid w:val="00154ED8"/>
    <w:rsid w:val="001631C4"/>
    <w:rsid w:val="00173224"/>
    <w:rsid w:val="0017491D"/>
    <w:rsid w:val="0017747C"/>
    <w:rsid w:val="001951E4"/>
    <w:rsid w:val="001953D3"/>
    <w:rsid w:val="00196532"/>
    <w:rsid w:val="001A2587"/>
    <w:rsid w:val="001A6D36"/>
    <w:rsid w:val="001B2261"/>
    <w:rsid w:val="001B27D0"/>
    <w:rsid w:val="001B6C29"/>
    <w:rsid w:val="001B70B5"/>
    <w:rsid w:val="001C7F06"/>
    <w:rsid w:val="001D45E1"/>
    <w:rsid w:val="001D723E"/>
    <w:rsid w:val="001E2AAD"/>
    <w:rsid w:val="001E520D"/>
    <w:rsid w:val="001E7A0E"/>
    <w:rsid w:val="00202BF6"/>
    <w:rsid w:val="00205EF5"/>
    <w:rsid w:val="0021099D"/>
    <w:rsid w:val="0021150C"/>
    <w:rsid w:val="002154D3"/>
    <w:rsid w:val="002170DD"/>
    <w:rsid w:val="00227BF6"/>
    <w:rsid w:val="00230F30"/>
    <w:rsid w:val="002311E5"/>
    <w:rsid w:val="00235561"/>
    <w:rsid w:val="00244824"/>
    <w:rsid w:val="00250804"/>
    <w:rsid w:val="00250F3A"/>
    <w:rsid w:val="0026291C"/>
    <w:rsid w:val="00263462"/>
    <w:rsid w:val="00270F02"/>
    <w:rsid w:val="00271FBB"/>
    <w:rsid w:val="002747F7"/>
    <w:rsid w:val="00287A51"/>
    <w:rsid w:val="002900A5"/>
    <w:rsid w:val="00296820"/>
    <w:rsid w:val="00297E34"/>
    <w:rsid w:val="002A3E53"/>
    <w:rsid w:val="002A63D4"/>
    <w:rsid w:val="002B3CE7"/>
    <w:rsid w:val="002B4A7A"/>
    <w:rsid w:val="002B707E"/>
    <w:rsid w:val="002C5738"/>
    <w:rsid w:val="002D6789"/>
    <w:rsid w:val="002E3CA2"/>
    <w:rsid w:val="002F4094"/>
    <w:rsid w:val="002F6CA1"/>
    <w:rsid w:val="002F74B4"/>
    <w:rsid w:val="00306571"/>
    <w:rsid w:val="00314749"/>
    <w:rsid w:val="00321D4E"/>
    <w:rsid w:val="003227C7"/>
    <w:rsid w:val="0033123B"/>
    <w:rsid w:val="0033185B"/>
    <w:rsid w:val="003457AF"/>
    <w:rsid w:val="00352936"/>
    <w:rsid w:val="0035493F"/>
    <w:rsid w:val="00361722"/>
    <w:rsid w:val="00363055"/>
    <w:rsid w:val="00365209"/>
    <w:rsid w:val="00372A9B"/>
    <w:rsid w:val="00374E58"/>
    <w:rsid w:val="00396131"/>
    <w:rsid w:val="003A1EFD"/>
    <w:rsid w:val="003B0676"/>
    <w:rsid w:val="003B178F"/>
    <w:rsid w:val="003B5393"/>
    <w:rsid w:val="003B5A2D"/>
    <w:rsid w:val="003B5CA2"/>
    <w:rsid w:val="003C2E07"/>
    <w:rsid w:val="003D1B0A"/>
    <w:rsid w:val="003D20FF"/>
    <w:rsid w:val="003E0BD3"/>
    <w:rsid w:val="003E0D7A"/>
    <w:rsid w:val="003E0DD6"/>
    <w:rsid w:val="003E2B4C"/>
    <w:rsid w:val="003E5274"/>
    <w:rsid w:val="003E5C37"/>
    <w:rsid w:val="003F126B"/>
    <w:rsid w:val="003F19F2"/>
    <w:rsid w:val="003F41B4"/>
    <w:rsid w:val="00417B4A"/>
    <w:rsid w:val="00420071"/>
    <w:rsid w:val="004217DF"/>
    <w:rsid w:val="00426C68"/>
    <w:rsid w:val="0043426B"/>
    <w:rsid w:val="00441EB4"/>
    <w:rsid w:val="00450FA7"/>
    <w:rsid w:val="0045177B"/>
    <w:rsid w:val="004566EB"/>
    <w:rsid w:val="00457432"/>
    <w:rsid w:val="00457F01"/>
    <w:rsid w:val="00476BF5"/>
    <w:rsid w:val="00486E36"/>
    <w:rsid w:val="00490BB8"/>
    <w:rsid w:val="004943FA"/>
    <w:rsid w:val="00494620"/>
    <w:rsid w:val="00495AED"/>
    <w:rsid w:val="004A2E98"/>
    <w:rsid w:val="004B47D0"/>
    <w:rsid w:val="004B5A4E"/>
    <w:rsid w:val="004B734C"/>
    <w:rsid w:val="004C0E40"/>
    <w:rsid w:val="004C1AB7"/>
    <w:rsid w:val="004D714B"/>
    <w:rsid w:val="004D76CE"/>
    <w:rsid w:val="004F1518"/>
    <w:rsid w:val="004F25DF"/>
    <w:rsid w:val="00501468"/>
    <w:rsid w:val="00503BF1"/>
    <w:rsid w:val="00504FA6"/>
    <w:rsid w:val="00506BCE"/>
    <w:rsid w:val="005228D2"/>
    <w:rsid w:val="005321D1"/>
    <w:rsid w:val="00532241"/>
    <w:rsid w:val="00533B6E"/>
    <w:rsid w:val="00534277"/>
    <w:rsid w:val="00534A2E"/>
    <w:rsid w:val="00536A17"/>
    <w:rsid w:val="005406EF"/>
    <w:rsid w:val="00550F6D"/>
    <w:rsid w:val="00555A5D"/>
    <w:rsid w:val="0056723D"/>
    <w:rsid w:val="00576E3F"/>
    <w:rsid w:val="00580D73"/>
    <w:rsid w:val="00581F12"/>
    <w:rsid w:val="00593A9F"/>
    <w:rsid w:val="00597180"/>
    <w:rsid w:val="005B0F61"/>
    <w:rsid w:val="005C08ED"/>
    <w:rsid w:val="005C2047"/>
    <w:rsid w:val="005C34B1"/>
    <w:rsid w:val="005C3CEF"/>
    <w:rsid w:val="005D2154"/>
    <w:rsid w:val="005D2D68"/>
    <w:rsid w:val="005D7CD5"/>
    <w:rsid w:val="005E0664"/>
    <w:rsid w:val="005E1E75"/>
    <w:rsid w:val="005E520D"/>
    <w:rsid w:val="00602CE4"/>
    <w:rsid w:val="00607DDF"/>
    <w:rsid w:val="00610620"/>
    <w:rsid w:val="00615EEE"/>
    <w:rsid w:val="00621FEB"/>
    <w:rsid w:val="00624503"/>
    <w:rsid w:val="00625937"/>
    <w:rsid w:val="00631D66"/>
    <w:rsid w:val="00636192"/>
    <w:rsid w:val="0063638F"/>
    <w:rsid w:val="00645F30"/>
    <w:rsid w:val="00651921"/>
    <w:rsid w:val="006540A5"/>
    <w:rsid w:val="00657CFC"/>
    <w:rsid w:val="00657DE3"/>
    <w:rsid w:val="00661C61"/>
    <w:rsid w:val="006627FD"/>
    <w:rsid w:val="00675811"/>
    <w:rsid w:val="00686CB0"/>
    <w:rsid w:val="006921A5"/>
    <w:rsid w:val="00693B39"/>
    <w:rsid w:val="006A1C7E"/>
    <w:rsid w:val="006A4F00"/>
    <w:rsid w:val="006B3E45"/>
    <w:rsid w:val="006B5141"/>
    <w:rsid w:val="006B5B57"/>
    <w:rsid w:val="006B6C92"/>
    <w:rsid w:val="006C27F7"/>
    <w:rsid w:val="006C7833"/>
    <w:rsid w:val="006D055B"/>
    <w:rsid w:val="006D198E"/>
    <w:rsid w:val="006D2045"/>
    <w:rsid w:val="006D2E44"/>
    <w:rsid w:val="006E5B92"/>
    <w:rsid w:val="007012D3"/>
    <w:rsid w:val="00722C44"/>
    <w:rsid w:val="0072387F"/>
    <w:rsid w:val="00737D7A"/>
    <w:rsid w:val="00745757"/>
    <w:rsid w:val="00747A5F"/>
    <w:rsid w:val="0075001A"/>
    <w:rsid w:val="00750FB9"/>
    <w:rsid w:val="007642C2"/>
    <w:rsid w:val="00767A58"/>
    <w:rsid w:val="007829CB"/>
    <w:rsid w:val="00790266"/>
    <w:rsid w:val="00795E17"/>
    <w:rsid w:val="00796988"/>
    <w:rsid w:val="007A3680"/>
    <w:rsid w:val="007A4AAF"/>
    <w:rsid w:val="007B2172"/>
    <w:rsid w:val="007B6E11"/>
    <w:rsid w:val="007C158E"/>
    <w:rsid w:val="007C3A12"/>
    <w:rsid w:val="007C5775"/>
    <w:rsid w:val="007E2DCD"/>
    <w:rsid w:val="007E7BFC"/>
    <w:rsid w:val="007F763A"/>
    <w:rsid w:val="00806A67"/>
    <w:rsid w:val="00810EC4"/>
    <w:rsid w:val="008142BF"/>
    <w:rsid w:val="0082084E"/>
    <w:rsid w:val="00822ABD"/>
    <w:rsid w:val="008255BB"/>
    <w:rsid w:val="00835AF6"/>
    <w:rsid w:val="008372D8"/>
    <w:rsid w:val="00837881"/>
    <w:rsid w:val="00840447"/>
    <w:rsid w:val="0084399C"/>
    <w:rsid w:val="008446C4"/>
    <w:rsid w:val="00847C2D"/>
    <w:rsid w:val="00857831"/>
    <w:rsid w:val="00861969"/>
    <w:rsid w:val="0086423F"/>
    <w:rsid w:val="008668AF"/>
    <w:rsid w:val="0087318E"/>
    <w:rsid w:val="00873BA4"/>
    <w:rsid w:val="00876E81"/>
    <w:rsid w:val="00882DE6"/>
    <w:rsid w:val="00884A06"/>
    <w:rsid w:val="00893528"/>
    <w:rsid w:val="00895952"/>
    <w:rsid w:val="008A19D0"/>
    <w:rsid w:val="008A2E30"/>
    <w:rsid w:val="008A65B9"/>
    <w:rsid w:val="008A78AE"/>
    <w:rsid w:val="008B057C"/>
    <w:rsid w:val="008B4BE1"/>
    <w:rsid w:val="008B67CA"/>
    <w:rsid w:val="008C21B5"/>
    <w:rsid w:val="008C2300"/>
    <w:rsid w:val="008C41E8"/>
    <w:rsid w:val="008C68DF"/>
    <w:rsid w:val="008D06AA"/>
    <w:rsid w:val="008D5855"/>
    <w:rsid w:val="008F0020"/>
    <w:rsid w:val="008F007E"/>
    <w:rsid w:val="008F4AA7"/>
    <w:rsid w:val="00904576"/>
    <w:rsid w:val="00907FED"/>
    <w:rsid w:val="009134C1"/>
    <w:rsid w:val="0093025D"/>
    <w:rsid w:val="00931C58"/>
    <w:rsid w:val="00935025"/>
    <w:rsid w:val="00936C35"/>
    <w:rsid w:val="00940D95"/>
    <w:rsid w:val="009465BA"/>
    <w:rsid w:val="00950786"/>
    <w:rsid w:val="00970FE7"/>
    <w:rsid w:val="00972433"/>
    <w:rsid w:val="00972D39"/>
    <w:rsid w:val="0097556E"/>
    <w:rsid w:val="00975AD5"/>
    <w:rsid w:val="00976FCF"/>
    <w:rsid w:val="00981CCA"/>
    <w:rsid w:val="00982596"/>
    <w:rsid w:val="00985705"/>
    <w:rsid w:val="00986E7A"/>
    <w:rsid w:val="009901D4"/>
    <w:rsid w:val="009B651C"/>
    <w:rsid w:val="009C6940"/>
    <w:rsid w:val="009C73BD"/>
    <w:rsid w:val="009D386A"/>
    <w:rsid w:val="009D4986"/>
    <w:rsid w:val="009D6AA7"/>
    <w:rsid w:val="009D7BB6"/>
    <w:rsid w:val="009E2CB1"/>
    <w:rsid w:val="009E430A"/>
    <w:rsid w:val="009E7A26"/>
    <w:rsid w:val="009F1155"/>
    <w:rsid w:val="009F1393"/>
    <w:rsid w:val="009F243C"/>
    <w:rsid w:val="009F2D53"/>
    <w:rsid w:val="009F6A80"/>
    <w:rsid w:val="00A0254F"/>
    <w:rsid w:val="00A040CB"/>
    <w:rsid w:val="00A04E4A"/>
    <w:rsid w:val="00A0758F"/>
    <w:rsid w:val="00A105DB"/>
    <w:rsid w:val="00A12238"/>
    <w:rsid w:val="00A12348"/>
    <w:rsid w:val="00A25EBF"/>
    <w:rsid w:val="00A32724"/>
    <w:rsid w:val="00A40C20"/>
    <w:rsid w:val="00A41B57"/>
    <w:rsid w:val="00A51726"/>
    <w:rsid w:val="00A535A0"/>
    <w:rsid w:val="00A53DD7"/>
    <w:rsid w:val="00A575BC"/>
    <w:rsid w:val="00A61C1B"/>
    <w:rsid w:val="00A70072"/>
    <w:rsid w:val="00A73C48"/>
    <w:rsid w:val="00A767E4"/>
    <w:rsid w:val="00A97E1E"/>
    <w:rsid w:val="00AB5B2B"/>
    <w:rsid w:val="00AC0D4C"/>
    <w:rsid w:val="00AC1445"/>
    <w:rsid w:val="00AD4F63"/>
    <w:rsid w:val="00AD6BE8"/>
    <w:rsid w:val="00AF3E83"/>
    <w:rsid w:val="00AF6E0E"/>
    <w:rsid w:val="00B06533"/>
    <w:rsid w:val="00B1312D"/>
    <w:rsid w:val="00B14744"/>
    <w:rsid w:val="00B149EC"/>
    <w:rsid w:val="00B14DF7"/>
    <w:rsid w:val="00B21B67"/>
    <w:rsid w:val="00B22412"/>
    <w:rsid w:val="00B23A7C"/>
    <w:rsid w:val="00B23D6C"/>
    <w:rsid w:val="00B257BE"/>
    <w:rsid w:val="00B27C10"/>
    <w:rsid w:val="00B34597"/>
    <w:rsid w:val="00B34F2D"/>
    <w:rsid w:val="00B3740E"/>
    <w:rsid w:val="00B434B8"/>
    <w:rsid w:val="00B443DE"/>
    <w:rsid w:val="00B61BA2"/>
    <w:rsid w:val="00B655B7"/>
    <w:rsid w:val="00B71EA9"/>
    <w:rsid w:val="00B72F24"/>
    <w:rsid w:val="00B7365B"/>
    <w:rsid w:val="00B76A2E"/>
    <w:rsid w:val="00B84910"/>
    <w:rsid w:val="00B8513F"/>
    <w:rsid w:val="00B8724B"/>
    <w:rsid w:val="00B94CC7"/>
    <w:rsid w:val="00BA32BE"/>
    <w:rsid w:val="00BA5776"/>
    <w:rsid w:val="00BA5D72"/>
    <w:rsid w:val="00BA7202"/>
    <w:rsid w:val="00BA78FD"/>
    <w:rsid w:val="00BC4937"/>
    <w:rsid w:val="00BD22A0"/>
    <w:rsid w:val="00BD7843"/>
    <w:rsid w:val="00BE523D"/>
    <w:rsid w:val="00BF2FA3"/>
    <w:rsid w:val="00C05C10"/>
    <w:rsid w:val="00C06358"/>
    <w:rsid w:val="00C15586"/>
    <w:rsid w:val="00C15E9B"/>
    <w:rsid w:val="00C1715B"/>
    <w:rsid w:val="00C203AE"/>
    <w:rsid w:val="00C220B4"/>
    <w:rsid w:val="00C224F7"/>
    <w:rsid w:val="00C239EA"/>
    <w:rsid w:val="00C25E2B"/>
    <w:rsid w:val="00C274E6"/>
    <w:rsid w:val="00C27C74"/>
    <w:rsid w:val="00C3071B"/>
    <w:rsid w:val="00C31C7C"/>
    <w:rsid w:val="00C33254"/>
    <w:rsid w:val="00C36F64"/>
    <w:rsid w:val="00C53D69"/>
    <w:rsid w:val="00C54EF3"/>
    <w:rsid w:val="00C643E4"/>
    <w:rsid w:val="00C74F73"/>
    <w:rsid w:val="00C7619F"/>
    <w:rsid w:val="00C775BB"/>
    <w:rsid w:val="00C8144F"/>
    <w:rsid w:val="00C848A8"/>
    <w:rsid w:val="00CA2876"/>
    <w:rsid w:val="00CA467B"/>
    <w:rsid w:val="00CA701F"/>
    <w:rsid w:val="00CB2330"/>
    <w:rsid w:val="00CB30D6"/>
    <w:rsid w:val="00CB34B2"/>
    <w:rsid w:val="00CB6B80"/>
    <w:rsid w:val="00CC22A1"/>
    <w:rsid w:val="00CC2BEC"/>
    <w:rsid w:val="00CC3CD6"/>
    <w:rsid w:val="00CE0303"/>
    <w:rsid w:val="00CE41E2"/>
    <w:rsid w:val="00CE42F3"/>
    <w:rsid w:val="00CE4D27"/>
    <w:rsid w:val="00CE7902"/>
    <w:rsid w:val="00CF0450"/>
    <w:rsid w:val="00CF1F2A"/>
    <w:rsid w:val="00CF6E95"/>
    <w:rsid w:val="00D0013E"/>
    <w:rsid w:val="00D024B4"/>
    <w:rsid w:val="00D0577E"/>
    <w:rsid w:val="00D102C2"/>
    <w:rsid w:val="00D125E3"/>
    <w:rsid w:val="00D12E5F"/>
    <w:rsid w:val="00D22C8C"/>
    <w:rsid w:val="00D23C42"/>
    <w:rsid w:val="00D24E83"/>
    <w:rsid w:val="00D25A6F"/>
    <w:rsid w:val="00D31BFD"/>
    <w:rsid w:val="00D320A7"/>
    <w:rsid w:val="00D33FD5"/>
    <w:rsid w:val="00D435E1"/>
    <w:rsid w:val="00D438D1"/>
    <w:rsid w:val="00D466E7"/>
    <w:rsid w:val="00D551C6"/>
    <w:rsid w:val="00D55A57"/>
    <w:rsid w:val="00D67184"/>
    <w:rsid w:val="00D806CE"/>
    <w:rsid w:val="00D86475"/>
    <w:rsid w:val="00D921C9"/>
    <w:rsid w:val="00D95511"/>
    <w:rsid w:val="00D96889"/>
    <w:rsid w:val="00D970BE"/>
    <w:rsid w:val="00DA14D8"/>
    <w:rsid w:val="00DA20B1"/>
    <w:rsid w:val="00DA581D"/>
    <w:rsid w:val="00DB0245"/>
    <w:rsid w:val="00DB24B3"/>
    <w:rsid w:val="00DB3E68"/>
    <w:rsid w:val="00DB455C"/>
    <w:rsid w:val="00DB7620"/>
    <w:rsid w:val="00DC00FE"/>
    <w:rsid w:val="00DC1E95"/>
    <w:rsid w:val="00DE0F50"/>
    <w:rsid w:val="00DE3A72"/>
    <w:rsid w:val="00DF1CA9"/>
    <w:rsid w:val="00DF1F6C"/>
    <w:rsid w:val="00DF505C"/>
    <w:rsid w:val="00DF7EA5"/>
    <w:rsid w:val="00E1122C"/>
    <w:rsid w:val="00E2035A"/>
    <w:rsid w:val="00E21F12"/>
    <w:rsid w:val="00E22BC2"/>
    <w:rsid w:val="00E24B63"/>
    <w:rsid w:val="00E30787"/>
    <w:rsid w:val="00E31AA3"/>
    <w:rsid w:val="00E361D0"/>
    <w:rsid w:val="00E422C3"/>
    <w:rsid w:val="00E42D39"/>
    <w:rsid w:val="00E45B7D"/>
    <w:rsid w:val="00E545E3"/>
    <w:rsid w:val="00E550A5"/>
    <w:rsid w:val="00E55F9C"/>
    <w:rsid w:val="00E61025"/>
    <w:rsid w:val="00E63555"/>
    <w:rsid w:val="00E73D88"/>
    <w:rsid w:val="00E75980"/>
    <w:rsid w:val="00E87688"/>
    <w:rsid w:val="00E910A1"/>
    <w:rsid w:val="00E962D3"/>
    <w:rsid w:val="00EA259C"/>
    <w:rsid w:val="00EA27E9"/>
    <w:rsid w:val="00EA29D4"/>
    <w:rsid w:val="00EB0348"/>
    <w:rsid w:val="00EB11AA"/>
    <w:rsid w:val="00EB34D7"/>
    <w:rsid w:val="00EB5156"/>
    <w:rsid w:val="00EC6717"/>
    <w:rsid w:val="00EC77E1"/>
    <w:rsid w:val="00EC7E52"/>
    <w:rsid w:val="00ED3876"/>
    <w:rsid w:val="00EE0B81"/>
    <w:rsid w:val="00EE2C5C"/>
    <w:rsid w:val="00EE3359"/>
    <w:rsid w:val="00EF623D"/>
    <w:rsid w:val="00F04B8E"/>
    <w:rsid w:val="00F05602"/>
    <w:rsid w:val="00F122CB"/>
    <w:rsid w:val="00F13F2B"/>
    <w:rsid w:val="00F151D3"/>
    <w:rsid w:val="00F1717A"/>
    <w:rsid w:val="00F1736C"/>
    <w:rsid w:val="00F22E42"/>
    <w:rsid w:val="00F25E10"/>
    <w:rsid w:val="00F26660"/>
    <w:rsid w:val="00F30E70"/>
    <w:rsid w:val="00F3260D"/>
    <w:rsid w:val="00F35884"/>
    <w:rsid w:val="00F405B0"/>
    <w:rsid w:val="00F416B1"/>
    <w:rsid w:val="00F45E34"/>
    <w:rsid w:val="00F45EAE"/>
    <w:rsid w:val="00F52845"/>
    <w:rsid w:val="00F52CEE"/>
    <w:rsid w:val="00F5476C"/>
    <w:rsid w:val="00F60005"/>
    <w:rsid w:val="00F60DB8"/>
    <w:rsid w:val="00F61B9E"/>
    <w:rsid w:val="00F6568A"/>
    <w:rsid w:val="00F662C8"/>
    <w:rsid w:val="00F66C8E"/>
    <w:rsid w:val="00F74EE2"/>
    <w:rsid w:val="00F86B01"/>
    <w:rsid w:val="00F9163C"/>
    <w:rsid w:val="00FA2594"/>
    <w:rsid w:val="00FA421D"/>
    <w:rsid w:val="00FA4D87"/>
    <w:rsid w:val="00FB0C1F"/>
    <w:rsid w:val="00FB42F7"/>
    <w:rsid w:val="00FB6A83"/>
    <w:rsid w:val="00FC5281"/>
    <w:rsid w:val="00FC5314"/>
    <w:rsid w:val="00FD3E5C"/>
    <w:rsid w:val="00FE0973"/>
    <w:rsid w:val="00FE12D1"/>
    <w:rsid w:val="00FE20ED"/>
    <w:rsid w:val="00FE75BB"/>
    <w:rsid w:val="00FF45B4"/>
    <w:rsid w:val="00FF6CE1"/>
    <w:rsid w:val="00FF74A8"/>
    <w:rsid w:val="23C927C0"/>
    <w:rsid w:val="2D6D0E7E"/>
    <w:rsid w:val="2E901152"/>
    <w:rsid w:val="368D6465"/>
    <w:rsid w:val="51E4236A"/>
    <w:rsid w:val="6B275C78"/>
    <w:rsid w:val="6F2134C9"/>
    <w:rsid w:val="7F9E40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9"/>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7">
    <w:name w:val="heading 5"/>
    <w:basedOn w:val="1"/>
    <w:next w:val="1"/>
    <w:link w:val="30"/>
    <w:semiHidden/>
    <w:unhideWhenUsed/>
    <w:qFormat/>
    <w:uiPriority w:val="9"/>
    <w:pPr>
      <w:keepNext/>
      <w:keepLines/>
      <w:spacing w:before="80" w:after="40"/>
      <w:outlineLvl w:val="4"/>
    </w:pPr>
    <w:rPr>
      <w:rFonts w:cstheme="majorBidi"/>
      <w:color w:val="104862" w:themeColor="accent1" w:themeShade="BF"/>
      <w:sz w:val="24"/>
    </w:rPr>
  </w:style>
  <w:style w:type="paragraph" w:styleId="8">
    <w:name w:val="heading 6"/>
    <w:basedOn w:val="1"/>
    <w:next w:val="1"/>
    <w:link w:val="31"/>
    <w:semiHidden/>
    <w:unhideWhenUsed/>
    <w:qFormat/>
    <w:uiPriority w:val="9"/>
    <w:pPr>
      <w:keepNext/>
      <w:keepLines/>
      <w:spacing w:before="40"/>
      <w:outlineLvl w:val="5"/>
    </w:pPr>
    <w:rPr>
      <w:rFonts w:cstheme="majorBidi"/>
      <w:b/>
      <w:bCs/>
      <w:color w:val="104862" w:themeColor="accent1" w:themeShade="BF"/>
    </w:rPr>
  </w:style>
  <w:style w:type="paragraph" w:styleId="9">
    <w:name w:val="heading 7"/>
    <w:basedOn w:val="1"/>
    <w:next w:val="1"/>
    <w:link w:val="32"/>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33"/>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34"/>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4"/>
    <w:unhideWhenUsed/>
    <w:qFormat/>
    <w:uiPriority w:val="99"/>
    <w:pPr>
      <w:spacing w:before="1"/>
      <w:ind w:left="1777" w:hanging="857"/>
    </w:pPr>
    <w:rPr>
      <w:rFonts w:ascii="宋体" w:hAnsi="宋体" w:cs="宋体"/>
      <w:lang w:val="zh-CN" w:bidi="zh-CN"/>
    </w:rPr>
  </w:style>
  <w:style w:type="paragraph" w:styleId="12">
    <w:name w:val="annotation text"/>
    <w:basedOn w:val="1"/>
    <w:link w:val="45"/>
    <w:unhideWhenUsed/>
    <w:qFormat/>
    <w:uiPriority w:val="99"/>
    <w:pPr>
      <w:jc w:val="left"/>
    </w:pPr>
  </w:style>
  <w:style w:type="paragraph" w:styleId="13">
    <w:name w:val="toc 3"/>
    <w:basedOn w:val="1"/>
    <w:next w:val="1"/>
    <w:autoRedefine/>
    <w:unhideWhenUsed/>
    <w:qFormat/>
    <w:uiPriority w:val="39"/>
    <w:pPr>
      <w:widowControl/>
      <w:spacing w:after="100" w:line="259" w:lineRule="auto"/>
      <w:ind w:left="440"/>
      <w:jc w:val="left"/>
    </w:pPr>
    <w:rPr>
      <w:rFonts w:asciiTheme="minorHAnsi" w:hAnsiTheme="minorHAnsi" w:eastAsiaTheme="minorEastAsia"/>
      <w:kern w:val="0"/>
      <w:sz w:val="22"/>
    </w:rPr>
  </w:style>
  <w:style w:type="paragraph" w:styleId="14">
    <w:name w:val="Date"/>
    <w:basedOn w:val="1"/>
    <w:next w:val="1"/>
    <w:link w:val="50"/>
    <w:semiHidden/>
    <w:unhideWhenUsed/>
    <w:qFormat/>
    <w:uiPriority w:val="99"/>
    <w:pPr>
      <w:ind w:left="100" w:leftChars="2500"/>
    </w:pPr>
  </w:style>
  <w:style w:type="paragraph" w:styleId="15">
    <w:name w:val="footer"/>
    <w:basedOn w:val="1"/>
    <w:link w:val="46"/>
    <w:unhideWhenUsed/>
    <w:qFormat/>
    <w:uiPriority w:val="99"/>
    <w:pPr>
      <w:tabs>
        <w:tab w:val="center" w:pos="4153"/>
        <w:tab w:val="right" w:pos="8306"/>
      </w:tabs>
      <w:snapToGrid w:val="0"/>
      <w:jc w:val="left"/>
    </w:pPr>
    <w:rPr>
      <w:sz w:val="18"/>
    </w:rPr>
  </w:style>
  <w:style w:type="paragraph" w:styleId="16">
    <w:name w:val="header"/>
    <w:basedOn w:val="1"/>
    <w:link w:val="49"/>
    <w:unhideWhenUsed/>
    <w:qFormat/>
    <w:uiPriority w:val="99"/>
    <w:pP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spacing w:after="100" w:line="259" w:lineRule="auto"/>
      <w:jc w:val="left"/>
    </w:pPr>
    <w:rPr>
      <w:rFonts w:asciiTheme="minorHAnsi" w:hAnsiTheme="minorHAnsi" w:eastAsiaTheme="minorEastAsia"/>
      <w:kern w:val="0"/>
      <w:sz w:val="22"/>
    </w:rPr>
  </w:style>
  <w:style w:type="paragraph" w:styleId="18">
    <w:name w:val="Subtitle"/>
    <w:basedOn w:val="1"/>
    <w:next w:val="1"/>
    <w:link w:val="36"/>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9">
    <w:name w:val="toc 2"/>
    <w:basedOn w:val="1"/>
    <w:next w:val="1"/>
    <w:autoRedefine/>
    <w:unhideWhenUsed/>
    <w:qFormat/>
    <w:uiPriority w:val="39"/>
    <w:pPr>
      <w:widowControl/>
      <w:spacing w:after="100" w:line="259" w:lineRule="auto"/>
      <w:ind w:left="220"/>
      <w:jc w:val="left"/>
    </w:pPr>
    <w:rPr>
      <w:rFonts w:asciiTheme="minorHAnsi" w:hAnsiTheme="minorHAnsi" w:eastAsiaTheme="minorEastAsia"/>
      <w:kern w:val="0"/>
      <w:sz w:val="22"/>
    </w:rPr>
  </w:style>
  <w:style w:type="paragraph" w:styleId="20">
    <w:name w:val="Title"/>
    <w:basedOn w:val="1"/>
    <w:next w:val="1"/>
    <w:link w:val="35"/>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21">
    <w:name w:val="annotation subject"/>
    <w:basedOn w:val="12"/>
    <w:next w:val="12"/>
    <w:link w:val="47"/>
    <w:semiHidden/>
    <w:unhideWhenUsed/>
    <w:qFormat/>
    <w:uiPriority w:val="99"/>
    <w:rPr>
      <w:b/>
      <w:bCs/>
    </w:rPr>
  </w:style>
  <w:style w:type="character" w:styleId="24">
    <w:name w:val="Hyperlink"/>
    <w:basedOn w:val="23"/>
    <w:unhideWhenUsed/>
    <w:qFormat/>
    <w:uiPriority w:val="99"/>
    <w:rPr>
      <w:color w:val="467886" w:themeColor="hyperlink"/>
      <w:u w:val="single"/>
      <w14:textFill>
        <w14:solidFill>
          <w14:schemeClr w14:val="hlink"/>
        </w14:solidFill>
      </w14:textFill>
    </w:rPr>
  </w:style>
  <w:style w:type="character" w:styleId="25">
    <w:name w:val="annotation reference"/>
    <w:basedOn w:val="23"/>
    <w:unhideWhenUsed/>
    <w:qFormat/>
    <w:uiPriority w:val="99"/>
    <w:rPr>
      <w:rFonts w:asciiTheme="minorHAnsi" w:hAnsiTheme="minorHAnsi" w:eastAsiaTheme="minorEastAsia" w:cstheme="minorBidi"/>
      <w:kern w:val="2"/>
      <w:sz w:val="21"/>
      <w:szCs w:val="21"/>
      <w:lang w:val="en-US" w:eastAsia="zh-CN" w:bidi="ar-SA"/>
    </w:rPr>
  </w:style>
  <w:style w:type="character" w:customStyle="1" w:styleId="26">
    <w:name w:val="标题 1 字符"/>
    <w:basedOn w:val="23"/>
    <w:link w:val="3"/>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3"/>
    <w:link w:val="4"/>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3"/>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9">
    <w:name w:val="标题 4 字符"/>
    <w:basedOn w:val="23"/>
    <w:link w:val="6"/>
    <w:semiHidden/>
    <w:qFormat/>
    <w:uiPriority w:val="9"/>
    <w:rPr>
      <w:rFonts w:cstheme="majorBidi"/>
      <w:color w:val="104862" w:themeColor="accent1" w:themeShade="BF"/>
      <w:sz w:val="28"/>
      <w:szCs w:val="28"/>
    </w:rPr>
  </w:style>
  <w:style w:type="character" w:customStyle="1" w:styleId="30">
    <w:name w:val="标题 5 字符"/>
    <w:basedOn w:val="23"/>
    <w:link w:val="7"/>
    <w:semiHidden/>
    <w:qFormat/>
    <w:uiPriority w:val="9"/>
    <w:rPr>
      <w:rFonts w:cstheme="majorBidi"/>
      <w:color w:val="104862" w:themeColor="accent1" w:themeShade="BF"/>
      <w:sz w:val="24"/>
    </w:rPr>
  </w:style>
  <w:style w:type="character" w:customStyle="1" w:styleId="31">
    <w:name w:val="标题 6 字符"/>
    <w:basedOn w:val="23"/>
    <w:link w:val="8"/>
    <w:semiHidden/>
    <w:qFormat/>
    <w:uiPriority w:val="9"/>
    <w:rPr>
      <w:rFonts w:cstheme="majorBidi"/>
      <w:b/>
      <w:bCs/>
      <w:color w:val="104862" w:themeColor="accent1" w:themeShade="BF"/>
    </w:rPr>
  </w:style>
  <w:style w:type="character" w:customStyle="1" w:styleId="32">
    <w:name w:val="标题 7 字符"/>
    <w:basedOn w:val="23"/>
    <w:link w:val="9"/>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3"/>
    <w:link w:val="10"/>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3"/>
    <w:link w:val="11"/>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3"/>
    <w:link w:val="20"/>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3"/>
    <w:link w:val="18"/>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3"/>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23"/>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3"/>
    <w:link w:val="41"/>
    <w:qFormat/>
    <w:uiPriority w:val="30"/>
    <w:rPr>
      <w:i/>
      <w:iCs/>
      <w:color w:val="104862" w:themeColor="accent1" w:themeShade="BF"/>
    </w:rPr>
  </w:style>
  <w:style w:type="character" w:customStyle="1" w:styleId="43">
    <w:name w:val="明显参考1"/>
    <w:basedOn w:val="23"/>
    <w:qFormat/>
    <w:uiPriority w:val="32"/>
    <w:rPr>
      <w:b/>
      <w:bCs/>
      <w:smallCaps/>
      <w:color w:val="104862" w:themeColor="accent1" w:themeShade="BF"/>
      <w:spacing w:val="5"/>
    </w:rPr>
  </w:style>
  <w:style w:type="character" w:customStyle="1" w:styleId="44">
    <w:name w:val="正文文本 字符"/>
    <w:basedOn w:val="23"/>
    <w:link w:val="2"/>
    <w:qFormat/>
    <w:uiPriority w:val="99"/>
    <w:rPr>
      <w:rFonts w:ascii="宋体" w:hAnsi="宋体" w:eastAsia="宋体" w:cs="宋体"/>
      <w:sz w:val="21"/>
      <w:szCs w:val="22"/>
      <w:lang w:val="zh-CN" w:bidi="zh-CN"/>
      <w14:ligatures w14:val="none"/>
    </w:rPr>
  </w:style>
  <w:style w:type="character" w:customStyle="1" w:styleId="45">
    <w:name w:val="批注文字 字符"/>
    <w:basedOn w:val="23"/>
    <w:link w:val="12"/>
    <w:qFormat/>
    <w:uiPriority w:val="0"/>
    <w:rPr>
      <w:rFonts w:ascii="Calibri" w:hAnsi="Calibri" w:eastAsia="宋体" w:cs="Times New Roman"/>
      <w:sz w:val="21"/>
      <w:szCs w:val="22"/>
      <w14:ligatures w14:val="none"/>
    </w:rPr>
  </w:style>
  <w:style w:type="character" w:customStyle="1" w:styleId="46">
    <w:name w:val="页脚 字符"/>
    <w:basedOn w:val="23"/>
    <w:link w:val="15"/>
    <w:qFormat/>
    <w:uiPriority w:val="99"/>
    <w:rPr>
      <w:rFonts w:ascii="Calibri" w:hAnsi="Calibri" w:eastAsia="宋体" w:cs="Times New Roman"/>
      <w:sz w:val="18"/>
      <w:szCs w:val="22"/>
      <w14:ligatures w14:val="none"/>
    </w:rPr>
  </w:style>
  <w:style w:type="character" w:customStyle="1" w:styleId="47">
    <w:name w:val="批注主题 字符"/>
    <w:basedOn w:val="45"/>
    <w:link w:val="21"/>
    <w:semiHidden/>
    <w:qFormat/>
    <w:uiPriority w:val="99"/>
    <w:rPr>
      <w:rFonts w:ascii="Calibri" w:hAnsi="Calibri" w:eastAsia="宋体" w:cs="Times New Roman"/>
      <w:b/>
      <w:bCs/>
      <w:sz w:val="21"/>
      <w:szCs w:val="22"/>
      <w14:ligatures w14:val="none"/>
    </w:rPr>
  </w:style>
  <w:style w:type="paragraph" w:customStyle="1" w:styleId="48">
    <w:name w:val="修订1"/>
    <w:hidden/>
    <w:semiHidden/>
    <w:qFormat/>
    <w:uiPriority w:val="99"/>
    <w:rPr>
      <w:rFonts w:ascii="Calibri" w:hAnsi="Calibri" w:eastAsia="宋体" w:cs="Times New Roman"/>
      <w:kern w:val="2"/>
      <w:sz w:val="21"/>
      <w:szCs w:val="22"/>
      <w:lang w:val="en-US" w:eastAsia="zh-CN" w:bidi="ar-SA"/>
    </w:rPr>
  </w:style>
  <w:style w:type="character" w:customStyle="1" w:styleId="49">
    <w:name w:val="页眉 字符"/>
    <w:basedOn w:val="23"/>
    <w:link w:val="16"/>
    <w:qFormat/>
    <w:uiPriority w:val="99"/>
    <w:rPr>
      <w:rFonts w:ascii="Calibri" w:hAnsi="Calibri" w:eastAsia="宋体" w:cs="Times New Roman"/>
      <w:sz w:val="18"/>
      <w:szCs w:val="18"/>
      <w14:ligatures w14:val="none"/>
    </w:rPr>
  </w:style>
  <w:style w:type="character" w:customStyle="1" w:styleId="50">
    <w:name w:val="日期 字符"/>
    <w:basedOn w:val="23"/>
    <w:link w:val="14"/>
    <w:semiHidden/>
    <w:qFormat/>
    <w:uiPriority w:val="99"/>
    <w:rPr>
      <w:rFonts w:ascii="Calibri" w:hAnsi="Calibri" w:eastAsia="宋体" w:cs="Times New Roman"/>
      <w:sz w:val="21"/>
      <w:szCs w:val="22"/>
      <w14:ligatures w14:val="none"/>
    </w:rPr>
  </w:style>
  <w:style w:type="paragraph" w:customStyle="1" w:styleId="51">
    <w:name w:val="Revision"/>
    <w:hidden/>
    <w:unhideWhenUsed/>
    <w:qFormat/>
    <w:uiPriority w:val="99"/>
    <w:rPr>
      <w:rFonts w:ascii="Calibri" w:hAnsi="Calibri" w:eastAsia="宋体" w:cs="Times New Roman"/>
      <w:kern w:val="2"/>
      <w:sz w:val="21"/>
      <w:szCs w:val="22"/>
      <w:lang w:val="en-US" w:eastAsia="zh-CN" w:bidi="ar-SA"/>
    </w:rPr>
  </w:style>
  <w:style w:type="paragraph" w:customStyle="1" w:styleId="52">
    <w:name w:val="TOC Heading"/>
    <w:basedOn w:val="3"/>
    <w:next w:val="1"/>
    <w:unhideWhenUsed/>
    <w:qFormat/>
    <w:uiPriority w:val="39"/>
    <w:pPr>
      <w:widowControl/>
      <w:spacing w:before="240" w:after="0" w:line="259" w:lineRule="auto"/>
      <w:jc w:val="left"/>
      <w:outlineLvl w:val="9"/>
    </w:pPr>
    <w:rPr>
      <w:kern w:val="0"/>
      <w:sz w:val="32"/>
      <w:szCs w:val="32"/>
    </w:rPr>
  </w:style>
  <w:style w:type="paragraph" w:customStyle="1" w:styleId="53">
    <w:name w:val="Table Text"/>
    <w:basedOn w:val="1"/>
    <w:semiHidden/>
    <w:qFormat/>
    <w:uiPriority w:val="0"/>
    <w:pPr>
      <w:widowControl/>
      <w:kinsoku w:val="0"/>
      <w:autoSpaceDE w:val="0"/>
      <w:autoSpaceDN w:val="0"/>
      <w:adjustRightInd w:val="0"/>
      <w:snapToGrid w:val="0"/>
      <w:jc w:val="left"/>
      <w:textAlignment w:val="baseline"/>
    </w:pPr>
    <w:rPr>
      <w:rFonts w:ascii="宋体" w:hAnsi="宋体" w:cs="宋体"/>
      <w:snapToGrid w:val="0"/>
      <w:color w:val="000000"/>
      <w:kern w:val="0"/>
      <w:szCs w:val="21"/>
      <w:lang w:eastAsia="en-US"/>
    </w:rPr>
  </w:style>
  <w:style w:type="table" w:customStyle="1" w:styleId="5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BFD98B-2020-4FDC-91EA-508E992AE8F4}">
  <ds:schemaRefs/>
</ds:datastoreItem>
</file>

<file path=docProps/app.xml><?xml version="1.0" encoding="utf-8"?>
<Properties xmlns="http://schemas.openxmlformats.org/officeDocument/2006/extended-properties" xmlns:vt="http://schemas.openxmlformats.org/officeDocument/2006/docPropsVTypes">
  <Template>Normal</Template>
  <Pages>50</Pages>
  <Words>467</Words>
  <Characters>597</Characters>
  <Lines>236</Lines>
  <Paragraphs>66</Paragraphs>
  <TotalTime>2061</TotalTime>
  <ScaleCrop>false</ScaleCrop>
  <LinksUpToDate>false</LinksUpToDate>
  <CharactersWithSpaces>708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2025-01-07T01:25:00Z</dcterms:created>
  <dc:creator>Binsen Xia</dc:creator>
  <cp:lastModifiedBy>天籁</cp:lastModifiedBy>
  <dcterms:modified xsi:type="dcterms:W3CDTF">2025-03-04T06:00:43Z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ad3ec290-c1dd-424e-83d8-8a3a2e6bd23d</vt:lpwstr>
  </property>
  <property fmtid="{D5CDD505-2E9C-101B-9397-08002B2CF9AE}" pid="3" name="KSOProductBuildVer">
    <vt:lpwstr>2052-12.1.0.19770</vt:lpwstr>
  </property>
  <property fmtid="{D5CDD505-2E9C-101B-9397-08002B2CF9AE}" pid="4" name="ICV">
    <vt:lpwstr>B86D3C8B36224E80AD30E7CC3B6EF345_13</vt:lpwstr>
  </property>
  <property fmtid="{D5CDD505-2E9C-101B-9397-08002B2CF9AE}" pid="5" name="KSOTemplateDocerSaveRecord">
    <vt:lpwstr>eyJoZGlkIjoiMjYzNjFmN2IwY2YwOTYxMjY1MGY2N2MwNDk3YzYyOGYiLCJ1c2VySWQiOiI3NDYxNDIzNDUifQ==</vt:lpwstr>
  </property>
</Properties>
</file>